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6C0A" w14:textId="77777777" w:rsidR="00B862C6" w:rsidRPr="00E53C3B" w:rsidRDefault="00B862C6" w:rsidP="00E94B7B">
      <w:pPr>
        <w:tabs>
          <w:tab w:val="left" w:pos="2835"/>
        </w:tabs>
        <w:spacing w:after="0" w:line="240" w:lineRule="auto"/>
        <w:ind w:left="3119"/>
        <w:jc w:val="both"/>
        <w:outlineLvl w:val="0"/>
        <w:rPr>
          <w:rFonts w:cstheme="minorHAnsi"/>
          <w:b/>
          <w:sz w:val="27"/>
          <w:szCs w:val="27"/>
        </w:rPr>
      </w:pPr>
      <w:r w:rsidRPr="00E53C3B">
        <w:rPr>
          <w:rFonts w:cstheme="minorHAnsi"/>
          <w:b/>
          <w:sz w:val="27"/>
          <w:szCs w:val="27"/>
        </w:rPr>
        <w:t>JUICIO PARA LA PROTECCIÓN DE LOS DERECHOS POLÍTICO-ELECTORALES DEL CIUDADANO</w:t>
      </w:r>
    </w:p>
    <w:p w14:paraId="25D2AF2D" w14:textId="77777777" w:rsidR="00E53C3B" w:rsidRDefault="00E53C3B" w:rsidP="00E94B7B">
      <w:pPr>
        <w:tabs>
          <w:tab w:val="left" w:pos="2835"/>
        </w:tabs>
        <w:spacing w:after="0" w:line="240" w:lineRule="auto"/>
        <w:ind w:left="3119"/>
        <w:jc w:val="both"/>
        <w:outlineLvl w:val="0"/>
        <w:rPr>
          <w:rFonts w:cstheme="minorHAnsi"/>
          <w:b/>
          <w:sz w:val="27"/>
          <w:szCs w:val="27"/>
        </w:rPr>
      </w:pPr>
    </w:p>
    <w:p w14:paraId="1E97086C" w14:textId="77777777" w:rsidR="00B862C6" w:rsidRPr="00E53C3B" w:rsidRDefault="00B862C6" w:rsidP="00E94B7B">
      <w:pPr>
        <w:tabs>
          <w:tab w:val="left" w:pos="2835"/>
        </w:tabs>
        <w:spacing w:after="0" w:line="240" w:lineRule="auto"/>
        <w:ind w:left="3119"/>
        <w:jc w:val="both"/>
        <w:outlineLvl w:val="0"/>
        <w:rPr>
          <w:rFonts w:cstheme="minorHAnsi"/>
          <w:b/>
          <w:sz w:val="27"/>
          <w:szCs w:val="27"/>
        </w:rPr>
      </w:pPr>
      <w:r w:rsidRPr="00E53C3B">
        <w:rPr>
          <w:rFonts w:cstheme="minorHAnsi"/>
          <w:b/>
          <w:sz w:val="27"/>
          <w:szCs w:val="27"/>
        </w:rPr>
        <w:t xml:space="preserve">EXPEDIENTE: </w:t>
      </w:r>
      <w:r w:rsidRPr="00E53C3B">
        <w:rPr>
          <w:rFonts w:cstheme="minorHAnsi"/>
          <w:bCs/>
          <w:sz w:val="27"/>
          <w:szCs w:val="27"/>
          <w:lang w:eastAsia="es-MX"/>
        </w:rPr>
        <w:t>SG-JDC</w:t>
      </w:r>
      <w:r w:rsidR="00BE51C5" w:rsidRPr="00E53C3B">
        <w:rPr>
          <w:rFonts w:cstheme="minorHAnsi"/>
          <w:bCs/>
          <w:sz w:val="27"/>
          <w:szCs w:val="27"/>
          <w:lang w:eastAsia="es-MX"/>
        </w:rPr>
        <w:t>-</w:t>
      </w:r>
      <w:r w:rsidR="00E07D46">
        <w:rPr>
          <w:rFonts w:cstheme="minorHAnsi"/>
          <w:bCs/>
          <w:sz w:val="27"/>
          <w:szCs w:val="27"/>
          <w:lang w:eastAsia="es-MX"/>
        </w:rPr>
        <w:t>112</w:t>
      </w:r>
      <w:r w:rsidRPr="00E53C3B">
        <w:rPr>
          <w:rFonts w:cstheme="minorHAnsi"/>
          <w:bCs/>
          <w:sz w:val="27"/>
          <w:szCs w:val="27"/>
          <w:lang w:eastAsia="es-MX"/>
        </w:rPr>
        <w:t xml:space="preserve">/2020 </w:t>
      </w:r>
    </w:p>
    <w:p w14:paraId="232ADE1E" w14:textId="77777777" w:rsidR="00E53C3B" w:rsidRDefault="00E53C3B" w:rsidP="00E94B7B">
      <w:pPr>
        <w:tabs>
          <w:tab w:val="left" w:pos="2835"/>
        </w:tabs>
        <w:spacing w:after="0" w:line="240" w:lineRule="auto"/>
        <w:ind w:left="3119"/>
        <w:jc w:val="both"/>
        <w:rPr>
          <w:rFonts w:cstheme="minorHAnsi"/>
          <w:b/>
          <w:sz w:val="27"/>
          <w:szCs w:val="27"/>
        </w:rPr>
      </w:pPr>
    </w:p>
    <w:p w14:paraId="3E97F84B" w14:textId="77777777" w:rsidR="00B862C6" w:rsidRPr="00E53C3B" w:rsidRDefault="00E53C3B" w:rsidP="00E94B7B">
      <w:pPr>
        <w:tabs>
          <w:tab w:val="left" w:pos="2835"/>
        </w:tabs>
        <w:spacing w:after="0" w:line="240" w:lineRule="auto"/>
        <w:ind w:left="3119"/>
        <w:jc w:val="both"/>
        <w:rPr>
          <w:rFonts w:cstheme="minorHAnsi"/>
          <w:sz w:val="27"/>
          <w:szCs w:val="27"/>
        </w:rPr>
      </w:pPr>
      <w:r>
        <w:rPr>
          <w:rFonts w:cstheme="minorHAnsi"/>
          <w:b/>
          <w:sz w:val="27"/>
          <w:szCs w:val="27"/>
        </w:rPr>
        <w:t>A</w:t>
      </w:r>
      <w:r w:rsidR="00B862C6" w:rsidRPr="00E53C3B">
        <w:rPr>
          <w:rFonts w:cstheme="minorHAnsi"/>
          <w:b/>
          <w:sz w:val="27"/>
          <w:szCs w:val="27"/>
        </w:rPr>
        <w:t>CTOR:</w:t>
      </w:r>
      <w:r w:rsidR="007E7248" w:rsidRPr="00E53C3B">
        <w:rPr>
          <w:rFonts w:cstheme="minorHAnsi"/>
          <w:b/>
          <w:sz w:val="27"/>
          <w:szCs w:val="27"/>
        </w:rPr>
        <w:t xml:space="preserve"> </w:t>
      </w:r>
      <w:r w:rsidR="00E07D46">
        <w:rPr>
          <w:rFonts w:cstheme="minorHAnsi"/>
          <w:sz w:val="27"/>
          <w:szCs w:val="27"/>
        </w:rPr>
        <w:t>GUSTAVO DE LA TORRE NAVARRO</w:t>
      </w:r>
    </w:p>
    <w:p w14:paraId="671D3574" w14:textId="77777777" w:rsidR="00E53C3B" w:rsidRDefault="00E53C3B" w:rsidP="00E94B7B">
      <w:pPr>
        <w:tabs>
          <w:tab w:val="left" w:pos="2835"/>
        </w:tabs>
        <w:spacing w:after="0" w:line="240" w:lineRule="auto"/>
        <w:ind w:left="3119"/>
        <w:jc w:val="both"/>
        <w:outlineLvl w:val="0"/>
        <w:rPr>
          <w:rFonts w:cstheme="minorHAnsi"/>
          <w:b/>
          <w:sz w:val="27"/>
          <w:szCs w:val="27"/>
        </w:rPr>
      </w:pPr>
    </w:p>
    <w:p w14:paraId="669885AB" w14:textId="77777777" w:rsidR="00B862C6" w:rsidRDefault="00B862C6" w:rsidP="00E94B7B">
      <w:pPr>
        <w:tabs>
          <w:tab w:val="left" w:pos="2835"/>
        </w:tabs>
        <w:spacing w:after="0" w:line="240" w:lineRule="auto"/>
        <w:ind w:left="3119"/>
        <w:jc w:val="both"/>
        <w:outlineLvl w:val="0"/>
        <w:rPr>
          <w:rFonts w:cstheme="minorHAnsi"/>
          <w:sz w:val="27"/>
          <w:szCs w:val="27"/>
        </w:rPr>
      </w:pPr>
      <w:r w:rsidRPr="00E53C3B">
        <w:rPr>
          <w:rFonts w:cstheme="minorHAnsi"/>
          <w:b/>
          <w:sz w:val="27"/>
          <w:szCs w:val="27"/>
        </w:rPr>
        <w:t>AUTORIDAD RESPONSABLE:</w:t>
      </w:r>
      <w:r w:rsidRPr="00E53C3B">
        <w:rPr>
          <w:rFonts w:cstheme="minorHAnsi"/>
          <w:sz w:val="27"/>
          <w:szCs w:val="27"/>
        </w:rPr>
        <w:t xml:space="preserve"> </w:t>
      </w:r>
      <w:r w:rsidR="00945521" w:rsidRPr="00E53C3B">
        <w:rPr>
          <w:rFonts w:cstheme="minorHAnsi"/>
          <w:sz w:val="27"/>
          <w:szCs w:val="27"/>
        </w:rPr>
        <w:t>TRIBUNAL ELECTORAL DE</w:t>
      </w:r>
      <w:r w:rsidR="00E07D46">
        <w:rPr>
          <w:rFonts w:cstheme="minorHAnsi"/>
          <w:sz w:val="27"/>
          <w:szCs w:val="27"/>
        </w:rPr>
        <w:t>L ESTADO DE JALISCO</w:t>
      </w:r>
    </w:p>
    <w:p w14:paraId="044CEBDC" w14:textId="77777777" w:rsidR="00E07D46" w:rsidRDefault="00E07D46" w:rsidP="00E94B7B">
      <w:pPr>
        <w:tabs>
          <w:tab w:val="left" w:pos="2835"/>
        </w:tabs>
        <w:spacing w:after="0" w:line="240" w:lineRule="auto"/>
        <w:jc w:val="both"/>
        <w:outlineLvl w:val="0"/>
        <w:rPr>
          <w:rFonts w:cstheme="minorHAnsi"/>
          <w:sz w:val="27"/>
          <w:szCs w:val="27"/>
        </w:rPr>
      </w:pPr>
    </w:p>
    <w:p w14:paraId="1600F845" w14:textId="77777777" w:rsidR="00E07D46" w:rsidRPr="00E07D46" w:rsidRDefault="00E07D46" w:rsidP="00E94B7B">
      <w:pPr>
        <w:tabs>
          <w:tab w:val="left" w:pos="2835"/>
        </w:tabs>
        <w:spacing w:after="0" w:line="240" w:lineRule="auto"/>
        <w:ind w:left="3119"/>
        <w:jc w:val="both"/>
        <w:outlineLvl w:val="0"/>
        <w:rPr>
          <w:rFonts w:cstheme="minorHAnsi"/>
          <w:sz w:val="27"/>
          <w:szCs w:val="27"/>
        </w:rPr>
      </w:pPr>
      <w:r w:rsidRPr="00E07D46">
        <w:rPr>
          <w:rFonts w:cstheme="minorHAnsi"/>
          <w:b/>
          <w:bCs/>
          <w:sz w:val="27"/>
          <w:szCs w:val="27"/>
        </w:rPr>
        <w:t>TERCERO INTERESADO:</w:t>
      </w:r>
      <w:r>
        <w:rPr>
          <w:rFonts w:cstheme="minorHAnsi"/>
          <w:b/>
          <w:bCs/>
          <w:sz w:val="27"/>
          <w:szCs w:val="27"/>
        </w:rPr>
        <w:t xml:space="preserve"> </w:t>
      </w:r>
      <w:r>
        <w:rPr>
          <w:rFonts w:cstheme="minorHAnsi"/>
          <w:sz w:val="27"/>
          <w:szCs w:val="27"/>
        </w:rPr>
        <w:t>UNIVERSIDAD DE GUADALAJARA</w:t>
      </w:r>
    </w:p>
    <w:p w14:paraId="3E411C06" w14:textId="77777777" w:rsidR="00E53C3B" w:rsidRDefault="00E53C3B" w:rsidP="00E94B7B">
      <w:pPr>
        <w:tabs>
          <w:tab w:val="left" w:pos="2835"/>
        </w:tabs>
        <w:spacing w:after="0" w:line="240" w:lineRule="auto"/>
        <w:ind w:left="3119"/>
        <w:jc w:val="both"/>
        <w:outlineLvl w:val="0"/>
        <w:rPr>
          <w:rFonts w:cstheme="minorHAnsi"/>
          <w:b/>
          <w:sz w:val="27"/>
          <w:szCs w:val="27"/>
        </w:rPr>
      </w:pPr>
    </w:p>
    <w:p w14:paraId="62DCEB6B" w14:textId="77777777" w:rsidR="00B862C6" w:rsidRPr="00E53C3B" w:rsidRDefault="00B862C6" w:rsidP="00E94B7B">
      <w:pPr>
        <w:tabs>
          <w:tab w:val="left" w:pos="2835"/>
        </w:tabs>
        <w:spacing w:after="0" w:line="240" w:lineRule="auto"/>
        <w:ind w:left="3119"/>
        <w:jc w:val="both"/>
        <w:outlineLvl w:val="0"/>
        <w:rPr>
          <w:rFonts w:cstheme="minorHAnsi"/>
          <w:sz w:val="27"/>
          <w:szCs w:val="27"/>
        </w:rPr>
      </w:pPr>
      <w:r w:rsidRPr="00E53C3B">
        <w:rPr>
          <w:rFonts w:cstheme="minorHAnsi"/>
          <w:b/>
          <w:sz w:val="27"/>
          <w:szCs w:val="27"/>
        </w:rPr>
        <w:t>MAGISTRAD</w:t>
      </w:r>
      <w:r w:rsidR="00E53C3B">
        <w:rPr>
          <w:rFonts w:cstheme="minorHAnsi"/>
          <w:b/>
          <w:sz w:val="27"/>
          <w:szCs w:val="27"/>
        </w:rPr>
        <w:t>O</w:t>
      </w:r>
      <w:r w:rsidRPr="00E53C3B">
        <w:rPr>
          <w:rFonts w:cstheme="minorHAnsi"/>
          <w:b/>
          <w:sz w:val="27"/>
          <w:szCs w:val="27"/>
        </w:rPr>
        <w:t xml:space="preserve">: </w:t>
      </w:r>
      <w:r w:rsidR="00E53C3B">
        <w:rPr>
          <w:rFonts w:cstheme="minorHAnsi"/>
          <w:sz w:val="27"/>
          <w:szCs w:val="27"/>
        </w:rPr>
        <w:t>JORGE SÁNCHEZ MORALES</w:t>
      </w:r>
    </w:p>
    <w:p w14:paraId="50404E86" w14:textId="77777777" w:rsidR="00E53C3B" w:rsidRDefault="00E53C3B" w:rsidP="00E94B7B">
      <w:pPr>
        <w:tabs>
          <w:tab w:val="left" w:pos="2835"/>
        </w:tabs>
        <w:spacing w:after="0" w:line="240" w:lineRule="auto"/>
        <w:ind w:left="3119"/>
        <w:jc w:val="both"/>
        <w:outlineLvl w:val="0"/>
        <w:rPr>
          <w:rFonts w:cstheme="minorHAnsi"/>
          <w:b/>
          <w:sz w:val="27"/>
          <w:szCs w:val="27"/>
        </w:rPr>
      </w:pPr>
    </w:p>
    <w:p w14:paraId="4E113EAC" w14:textId="77777777" w:rsidR="00B862C6" w:rsidRPr="00E53C3B" w:rsidRDefault="00B862C6" w:rsidP="00E94B7B">
      <w:pPr>
        <w:tabs>
          <w:tab w:val="left" w:pos="2835"/>
        </w:tabs>
        <w:spacing w:after="0" w:line="240" w:lineRule="auto"/>
        <w:ind w:left="3119"/>
        <w:jc w:val="both"/>
        <w:outlineLvl w:val="0"/>
        <w:rPr>
          <w:rFonts w:cstheme="minorHAnsi"/>
          <w:sz w:val="27"/>
          <w:szCs w:val="27"/>
        </w:rPr>
      </w:pPr>
      <w:r w:rsidRPr="00E53C3B">
        <w:rPr>
          <w:rFonts w:cstheme="minorHAnsi"/>
          <w:b/>
          <w:sz w:val="27"/>
          <w:szCs w:val="27"/>
        </w:rPr>
        <w:t>SECRETARIO</w:t>
      </w:r>
      <w:r w:rsidR="00E53C3B">
        <w:rPr>
          <w:rFonts w:cstheme="minorHAnsi"/>
          <w:b/>
          <w:sz w:val="27"/>
          <w:szCs w:val="27"/>
        </w:rPr>
        <w:t xml:space="preserve"> DE ESTUDIO Y CUENTA</w:t>
      </w:r>
      <w:r w:rsidRPr="00E53C3B">
        <w:rPr>
          <w:rFonts w:cstheme="minorHAnsi"/>
          <w:sz w:val="27"/>
          <w:szCs w:val="27"/>
        </w:rPr>
        <w:t xml:space="preserve">: </w:t>
      </w:r>
      <w:r w:rsidR="00E53C3B">
        <w:rPr>
          <w:rFonts w:cstheme="minorHAnsi"/>
          <w:sz w:val="27"/>
          <w:szCs w:val="27"/>
        </w:rPr>
        <w:t>ENRIQUE BASAURI CAGIDE</w:t>
      </w:r>
    </w:p>
    <w:p w14:paraId="069E3E14" w14:textId="77777777" w:rsidR="00FC329E" w:rsidRPr="00E53C3B" w:rsidRDefault="00FC329E" w:rsidP="00E94B7B">
      <w:pPr>
        <w:tabs>
          <w:tab w:val="left" w:pos="3055"/>
        </w:tabs>
        <w:spacing w:after="0" w:line="360" w:lineRule="auto"/>
        <w:jc w:val="both"/>
        <w:rPr>
          <w:rFonts w:cstheme="minorHAnsi"/>
          <w:sz w:val="27"/>
          <w:szCs w:val="27"/>
          <w:lang w:eastAsia="es-MX"/>
        </w:rPr>
      </w:pPr>
    </w:p>
    <w:p w14:paraId="7FC046D3" w14:textId="4B19C142" w:rsidR="00FC329E" w:rsidRPr="00E53C3B" w:rsidRDefault="00FC329E" w:rsidP="00E94B7B">
      <w:pPr>
        <w:spacing w:after="0" w:line="360" w:lineRule="auto"/>
        <w:jc w:val="both"/>
        <w:rPr>
          <w:rFonts w:cstheme="minorHAnsi"/>
          <w:sz w:val="27"/>
          <w:szCs w:val="27"/>
          <w:lang w:eastAsia="es-MX"/>
        </w:rPr>
      </w:pPr>
      <w:r w:rsidRPr="00E53C3B">
        <w:rPr>
          <w:rFonts w:cstheme="minorHAnsi"/>
          <w:sz w:val="27"/>
          <w:szCs w:val="27"/>
          <w:lang w:eastAsia="es-MX"/>
        </w:rPr>
        <w:t xml:space="preserve">Guadalajara, Jalisco, </w:t>
      </w:r>
      <w:r w:rsidR="00C52A12">
        <w:rPr>
          <w:rFonts w:cstheme="minorHAnsi"/>
          <w:sz w:val="27"/>
          <w:szCs w:val="27"/>
          <w:lang w:eastAsia="es-MX"/>
        </w:rPr>
        <w:t>catorce</w:t>
      </w:r>
      <w:r w:rsidR="000478F4" w:rsidRPr="00E53C3B">
        <w:rPr>
          <w:rFonts w:cstheme="minorHAnsi"/>
          <w:sz w:val="27"/>
          <w:szCs w:val="27"/>
          <w:lang w:eastAsia="es-MX"/>
        </w:rPr>
        <w:t xml:space="preserve"> de </w:t>
      </w:r>
      <w:r w:rsidR="00C52A12">
        <w:rPr>
          <w:rFonts w:cstheme="minorHAnsi"/>
          <w:sz w:val="27"/>
          <w:szCs w:val="27"/>
          <w:lang w:eastAsia="es-MX"/>
        </w:rPr>
        <w:t>octu</w:t>
      </w:r>
      <w:r w:rsidR="00E07D46">
        <w:rPr>
          <w:rFonts w:cstheme="minorHAnsi"/>
          <w:sz w:val="27"/>
          <w:szCs w:val="27"/>
          <w:lang w:eastAsia="es-MX"/>
        </w:rPr>
        <w:t>bre</w:t>
      </w:r>
      <w:r w:rsidR="00501CCE" w:rsidRPr="00E53C3B">
        <w:rPr>
          <w:rFonts w:cstheme="minorHAnsi"/>
          <w:sz w:val="27"/>
          <w:szCs w:val="27"/>
          <w:lang w:eastAsia="es-MX"/>
        </w:rPr>
        <w:t xml:space="preserve"> </w:t>
      </w:r>
      <w:r w:rsidRPr="00E53C3B">
        <w:rPr>
          <w:rFonts w:cstheme="minorHAnsi"/>
          <w:sz w:val="27"/>
          <w:szCs w:val="27"/>
          <w:lang w:eastAsia="es-MX"/>
        </w:rPr>
        <w:t>de dos mil veinte.</w:t>
      </w:r>
    </w:p>
    <w:p w14:paraId="0E6A0A63" w14:textId="77777777" w:rsidR="007465E8" w:rsidRPr="00E53C3B" w:rsidRDefault="007465E8" w:rsidP="00E94B7B">
      <w:pPr>
        <w:spacing w:after="0" w:line="360" w:lineRule="auto"/>
        <w:jc w:val="both"/>
        <w:rPr>
          <w:rFonts w:cstheme="minorHAnsi"/>
          <w:sz w:val="27"/>
          <w:szCs w:val="27"/>
          <w:lang w:eastAsia="es-MX"/>
        </w:rPr>
      </w:pPr>
    </w:p>
    <w:p w14:paraId="151D23A7" w14:textId="245F555B" w:rsidR="007B211B" w:rsidRDefault="007B211B" w:rsidP="00E94B7B">
      <w:pPr>
        <w:spacing w:after="0" w:line="360" w:lineRule="auto"/>
        <w:jc w:val="both"/>
        <w:rPr>
          <w:rFonts w:cs="Calibri"/>
          <w:sz w:val="27"/>
          <w:szCs w:val="27"/>
          <w:lang w:eastAsia="es-MX"/>
        </w:rPr>
      </w:pPr>
      <w:r>
        <w:rPr>
          <w:rFonts w:cs="Calibri"/>
          <w:b/>
          <w:sz w:val="27"/>
          <w:szCs w:val="27"/>
          <w:lang w:eastAsia="es-MX"/>
        </w:rPr>
        <w:t>VISTOS</w:t>
      </w:r>
      <w:r>
        <w:rPr>
          <w:rFonts w:cs="Calibri"/>
          <w:sz w:val="27"/>
          <w:szCs w:val="27"/>
          <w:lang w:eastAsia="es-MX"/>
        </w:rPr>
        <w:t xml:space="preserve"> para resolver, los autos que integran el expediente citado al rubro, formado con motivo de la demanda presentada por </w:t>
      </w:r>
      <w:r w:rsidR="00E07D46">
        <w:rPr>
          <w:rFonts w:cs="Calibri"/>
          <w:sz w:val="27"/>
          <w:szCs w:val="27"/>
          <w:lang w:eastAsia="es-MX"/>
        </w:rPr>
        <w:t>Gustavo de la Torre Navarro</w:t>
      </w:r>
      <w:r>
        <w:rPr>
          <w:rFonts w:cs="Calibri"/>
          <w:sz w:val="27"/>
          <w:szCs w:val="27"/>
          <w:lang w:eastAsia="es-MX"/>
        </w:rPr>
        <w:t>, por derecho propio y ostentándose como</w:t>
      </w:r>
      <w:r w:rsidR="00E07D46">
        <w:rPr>
          <w:rFonts w:cs="Calibri"/>
          <w:sz w:val="27"/>
          <w:szCs w:val="27"/>
          <w:lang w:eastAsia="es-MX"/>
        </w:rPr>
        <w:t xml:space="preserve"> representante común en el plebiscito número IEPC-MPC-PM01/2019, </w:t>
      </w:r>
      <w:r>
        <w:rPr>
          <w:rFonts w:cs="Calibri"/>
          <w:sz w:val="27"/>
          <w:szCs w:val="27"/>
          <w:lang w:eastAsia="es-MX"/>
        </w:rPr>
        <w:t>a fin de impugnar del Tribunal Electoral de</w:t>
      </w:r>
      <w:r w:rsidR="00E07D46">
        <w:rPr>
          <w:rFonts w:cs="Calibri"/>
          <w:sz w:val="27"/>
          <w:szCs w:val="27"/>
          <w:lang w:eastAsia="es-MX"/>
        </w:rPr>
        <w:t xml:space="preserve">l Estado de Jalisco, </w:t>
      </w:r>
      <w:r>
        <w:rPr>
          <w:rFonts w:cs="Calibri"/>
          <w:sz w:val="27"/>
          <w:szCs w:val="27"/>
          <w:lang w:eastAsia="es-MX"/>
        </w:rPr>
        <w:t xml:space="preserve">la resolución de </w:t>
      </w:r>
      <w:r w:rsidR="00E07D46">
        <w:rPr>
          <w:rFonts w:cs="Calibri"/>
          <w:sz w:val="27"/>
          <w:szCs w:val="27"/>
          <w:lang w:eastAsia="es-MX"/>
        </w:rPr>
        <w:t>ocho</w:t>
      </w:r>
      <w:r>
        <w:rPr>
          <w:rFonts w:cs="Calibri"/>
          <w:sz w:val="27"/>
          <w:szCs w:val="27"/>
          <w:lang w:eastAsia="es-MX"/>
        </w:rPr>
        <w:t xml:space="preserve"> de </w:t>
      </w:r>
      <w:r w:rsidR="00E07D46">
        <w:rPr>
          <w:rFonts w:cs="Calibri"/>
          <w:sz w:val="27"/>
          <w:szCs w:val="27"/>
          <w:lang w:eastAsia="es-MX"/>
        </w:rPr>
        <w:t>septiembre</w:t>
      </w:r>
      <w:r>
        <w:rPr>
          <w:rFonts w:cs="Calibri"/>
          <w:sz w:val="27"/>
          <w:szCs w:val="27"/>
          <w:lang w:eastAsia="es-MX"/>
        </w:rPr>
        <w:t xml:space="preserve"> del presente año, dictada en los </w:t>
      </w:r>
      <w:r w:rsidR="00E07D46">
        <w:rPr>
          <w:rFonts w:cs="Calibri"/>
          <w:sz w:val="27"/>
          <w:szCs w:val="27"/>
          <w:lang w:eastAsia="es-MX"/>
        </w:rPr>
        <w:t xml:space="preserve">recursos de apelación acumulados 4 y 5 de este año, </w:t>
      </w:r>
      <w:r>
        <w:rPr>
          <w:rFonts w:cs="Calibri"/>
          <w:sz w:val="27"/>
          <w:szCs w:val="27"/>
          <w:lang w:eastAsia="es-MX"/>
        </w:rPr>
        <w:t>misma que</w:t>
      </w:r>
      <w:r w:rsidR="00E07D46">
        <w:rPr>
          <w:rFonts w:cs="Calibri"/>
          <w:sz w:val="27"/>
          <w:szCs w:val="27"/>
          <w:lang w:eastAsia="es-MX"/>
        </w:rPr>
        <w:t xml:space="preserve"> revocó la resolución REV-001/2020, y como consecuencia declaró improcedente la solicitud de plebiscito referido anteriormente, y </w:t>
      </w:r>
      <w:r>
        <w:rPr>
          <w:rFonts w:cs="Calibri"/>
          <w:sz w:val="27"/>
          <w:szCs w:val="27"/>
          <w:lang w:eastAsia="es-MX"/>
        </w:rPr>
        <w:t xml:space="preserve"> </w:t>
      </w:r>
    </w:p>
    <w:p w14:paraId="19ED6D2D" w14:textId="77777777" w:rsidR="007B211B" w:rsidRDefault="007B211B" w:rsidP="00E94B7B">
      <w:pPr>
        <w:spacing w:after="0" w:line="360" w:lineRule="auto"/>
        <w:rPr>
          <w:rFonts w:cs="Calibri"/>
          <w:b/>
          <w:bCs/>
          <w:sz w:val="27"/>
          <w:szCs w:val="27"/>
          <w:lang w:eastAsia="es-MX"/>
        </w:rPr>
      </w:pPr>
    </w:p>
    <w:p w14:paraId="448210F8" w14:textId="77777777" w:rsidR="007B211B" w:rsidRDefault="007B211B" w:rsidP="00E94B7B">
      <w:pPr>
        <w:spacing w:after="0" w:line="360" w:lineRule="auto"/>
        <w:jc w:val="center"/>
        <w:rPr>
          <w:rFonts w:cs="Calibri"/>
          <w:b/>
          <w:bCs/>
          <w:sz w:val="27"/>
          <w:szCs w:val="27"/>
          <w:lang w:eastAsia="es-MX"/>
        </w:rPr>
      </w:pPr>
      <w:r>
        <w:rPr>
          <w:rFonts w:cs="Calibri"/>
          <w:b/>
          <w:bCs/>
          <w:sz w:val="27"/>
          <w:szCs w:val="27"/>
          <w:lang w:eastAsia="es-MX"/>
        </w:rPr>
        <w:t xml:space="preserve">R E S U L T A N D </w:t>
      </w:r>
      <w:proofErr w:type="gramStart"/>
      <w:r>
        <w:rPr>
          <w:rFonts w:cs="Calibri"/>
          <w:b/>
          <w:bCs/>
          <w:sz w:val="27"/>
          <w:szCs w:val="27"/>
          <w:lang w:eastAsia="es-MX"/>
        </w:rPr>
        <w:t>O :</w:t>
      </w:r>
      <w:proofErr w:type="gramEnd"/>
    </w:p>
    <w:p w14:paraId="4CD1C7B8" w14:textId="77777777" w:rsidR="007B211B" w:rsidRDefault="007B211B" w:rsidP="00E94B7B">
      <w:pPr>
        <w:spacing w:after="0" w:line="360" w:lineRule="auto"/>
        <w:jc w:val="both"/>
        <w:rPr>
          <w:rFonts w:cs="Calibri"/>
          <w:bCs/>
          <w:sz w:val="27"/>
          <w:szCs w:val="27"/>
          <w:lang w:eastAsia="es-MX"/>
        </w:rPr>
      </w:pPr>
    </w:p>
    <w:p w14:paraId="26E7BE94" w14:textId="77777777" w:rsidR="007B211B" w:rsidRDefault="007B211B" w:rsidP="00E94B7B">
      <w:pPr>
        <w:spacing w:after="0" w:line="360" w:lineRule="auto"/>
        <w:jc w:val="both"/>
        <w:rPr>
          <w:rFonts w:cs="Calibri"/>
          <w:bCs/>
          <w:sz w:val="27"/>
          <w:szCs w:val="27"/>
          <w:lang w:eastAsia="es-MX"/>
        </w:rPr>
      </w:pPr>
      <w:r>
        <w:rPr>
          <w:rFonts w:cs="Calibri"/>
          <w:bCs/>
          <w:sz w:val="27"/>
          <w:szCs w:val="27"/>
          <w:lang w:eastAsia="es-MX"/>
        </w:rPr>
        <w:t>De la demanda presentada por el enjuiciante, y de las constancias que obran en el expediente, se advierten los siguientes:</w:t>
      </w:r>
    </w:p>
    <w:p w14:paraId="2386FA5A" w14:textId="77777777" w:rsidR="007B211B" w:rsidRDefault="007B211B" w:rsidP="00E94B7B">
      <w:pPr>
        <w:spacing w:after="0" w:line="360" w:lineRule="auto"/>
        <w:jc w:val="both"/>
        <w:rPr>
          <w:rFonts w:cs="Calibri"/>
          <w:bCs/>
          <w:sz w:val="27"/>
          <w:szCs w:val="27"/>
          <w:lang w:eastAsia="es-MX"/>
        </w:rPr>
      </w:pPr>
    </w:p>
    <w:p w14:paraId="0C3F0638" w14:textId="77777777" w:rsidR="007B211B" w:rsidRDefault="007B211B" w:rsidP="00E94B7B">
      <w:pPr>
        <w:spacing w:after="0" w:line="360" w:lineRule="auto"/>
        <w:contextualSpacing/>
        <w:jc w:val="both"/>
        <w:rPr>
          <w:rFonts w:cs="Calibri"/>
          <w:b/>
          <w:sz w:val="27"/>
          <w:szCs w:val="27"/>
          <w:lang w:eastAsia="es-ES"/>
        </w:rPr>
      </w:pPr>
      <w:r>
        <w:rPr>
          <w:rFonts w:cs="Calibri"/>
          <w:b/>
          <w:sz w:val="27"/>
          <w:szCs w:val="27"/>
          <w:lang w:eastAsia="es-ES"/>
        </w:rPr>
        <w:t>I. Antecedentes</w:t>
      </w:r>
    </w:p>
    <w:p w14:paraId="68DE5CAC" w14:textId="77777777" w:rsidR="009216EE" w:rsidRPr="0021466E" w:rsidRDefault="009216EE" w:rsidP="00E94B7B">
      <w:pPr>
        <w:spacing w:after="0" w:line="360" w:lineRule="auto"/>
        <w:jc w:val="both"/>
        <w:rPr>
          <w:rFonts w:cs="Calibri"/>
          <w:bCs/>
          <w:sz w:val="27"/>
          <w:szCs w:val="27"/>
          <w:lang w:eastAsia="es-MX"/>
        </w:rPr>
      </w:pPr>
    </w:p>
    <w:p w14:paraId="64C364AF" w14:textId="48AF7BD5" w:rsidR="00483B68" w:rsidRDefault="007B211B" w:rsidP="00E94B7B">
      <w:pPr>
        <w:spacing w:after="0" w:line="360" w:lineRule="auto"/>
        <w:jc w:val="both"/>
        <w:rPr>
          <w:rFonts w:cs="Calibri"/>
          <w:bCs/>
          <w:sz w:val="27"/>
          <w:szCs w:val="27"/>
          <w:lang w:eastAsia="es-MX"/>
        </w:rPr>
      </w:pPr>
      <w:r w:rsidRPr="0021466E">
        <w:rPr>
          <w:rFonts w:cs="Calibri"/>
          <w:b/>
          <w:sz w:val="27"/>
          <w:szCs w:val="27"/>
          <w:lang w:eastAsia="es-MX"/>
        </w:rPr>
        <w:t xml:space="preserve">1. </w:t>
      </w:r>
      <w:r w:rsidR="0021466E" w:rsidRPr="0021466E">
        <w:rPr>
          <w:rFonts w:cs="Calibri"/>
          <w:b/>
          <w:sz w:val="27"/>
          <w:szCs w:val="27"/>
          <w:lang w:eastAsia="es-MX"/>
        </w:rPr>
        <w:t>Solicitud plebiscito.</w:t>
      </w:r>
      <w:r w:rsidR="0021466E" w:rsidRPr="0021466E">
        <w:rPr>
          <w:rFonts w:cs="Calibri"/>
          <w:bCs/>
          <w:sz w:val="27"/>
          <w:szCs w:val="27"/>
          <w:lang w:eastAsia="es-MX"/>
        </w:rPr>
        <w:t xml:space="preserve"> El día nueve de agosto</w:t>
      </w:r>
      <w:r w:rsidR="0021466E">
        <w:rPr>
          <w:rFonts w:cs="Calibri"/>
          <w:bCs/>
          <w:sz w:val="27"/>
          <w:szCs w:val="27"/>
          <w:lang w:eastAsia="es-MX"/>
        </w:rPr>
        <w:t xml:space="preserve"> de dos mil diecinueve</w:t>
      </w:r>
      <w:r w:rsidR="0021466E" w:rsidRPr="0021466E">
        <w:rPr>
          <w:rFonts w:cs="Calibri"/>
          <w:bCs/>
          <w:sz w:val="27"/>
          <w:szCs w:val="27"/>
          <w:lang w:eastAsia="es-MX"/>
        </w:rPr>
        <w:t xml:space="preserve">, el ciudadano Gustavo de la Torre Navarro, presentó ante la Oficialía de Partes del Instituto Electoral </w:t>
      </w:r>
      <w:r w:rsidR="0021466E">
        <w:rPr>
          <w:rFonts w:cs="Calibri"/>
          <w:bCs/>
          <w:sz w:val="27"/>
          <w:szCs w:val="27"/>
          <w:lang w:eastAsia="es-MX"/>
        </w:rPr>
        <w:t>del Estado de Jalisco</w:t>
      </w:r>
      <w:r w:rsidR="0021466E" w:rsidRPr="0021466E">
        <w:rPr>
          <w:rFonts w:cs="Calibri"/>
          <w:bCs/>
          <w:sz w:val="27"/>
          <w:szCs w:val="27"/>
          <w:lang w:eastAsia="es-MX"/>
        </w:rPr>
        <w:t xml:space="preserve">, solicitud de plebiscito </w:t>
      </w:r>
      <w:r w:rsidR="0021466E" w:rsidRPr="0021466E">
        <w:rPr>
          <w:rFonts w:cs="Calibri"/>
          <w:bCs/>
          <w:sz w:val="27"/>
          <w:szCs w:val="27"/>
          <w:lang w:eastAsia="es-MX"/>
        </w:rPr>
        <w:lastRenderedPageBreak/>
        <w:t>en representación de los ciudadanos que la firman, a la cual le correspondió el número de folio 00914</w:t>
      </w:r>
      <w:r w:rsidR="0021466E">
        <w:rPr>
          <w:rFonts w:cs="Calibri"/>
          <w:bCs/>
          <w:sz w:val="27"/>
          <w:szCs w:val="27"/>
          <w:lang w:eastAsia="es-MX"/>
        </w:rPr>
        <w:t xml:space="preserve">, y se le asignó el número de </w:t>
      </w:r>
      <w:r w:rsidR="0021466E" w:rsidRPr="0021466E">
        <w:rPr>
          <w:rFonts w:cs="Calibri"/>
          <w:bCs/>
          <w:sz w:val="27"/>
          <w:szCs w:val="27"/>
          <w:lang w:eastAsia="es-MX"/>
        </w:rPr>
        <w:t>registro IEPC-MPC-PM01/2019.</w:t>
      </w:r>
    </w:p>
    <w:p w14:paraId="1BC903FE" w14:textId="77777777" w:rsidR="0021466E" w:rsidRPr="0021466E" w:rsidRDefault="0021466E" w:rsidP="00E94B7B">
      <w:pPr>
        <w:spacing w:after="0" w:line="360" w:lineRule="auto"/>
        <w:jc w:val="both"/>
        <w:rPr>
          <w:rFonts w:cs="Calibri"/>
          <w:bCs/>
          <w:sz w:val="27"/>
          <w:szCs w:val="27"/>
          <w:lang w:eastAsia="es-MX"/>
        </w:rPr>
      </w:pPr>
    </w:p>
    <w:p w14:paraId="36FA86E2" w14:textId="1E0C7165" w:rsidR="00A23664" w:rsidRDefault="007B211B" w:rsidP="00E94B7B">
      <w:pPr>
        <w:spacing w:after="0" w:line="360" w:lineRule="auto"/>
        <w:jc w:val="both"/>
        <w:rPr>
          <w:rFonts w:cs="Calibri"/>
          <w:bCs/>
          <w:sz w:val="27"/>
          <w:szCs w:val="27"/>
          <w:lang w:eastAsia="es-MX"/>
        </w:rPr>
      </w:pPr>
      <w:r>
        <w:rPr>
          <w:rFonts w:cstheme="minorHAnsi"/>
          <w:b/>
          <w:sz w:val="27"/>
          <w:szCs w:val="27"/>
          <w:lang w:eastAsia="es-MX"/>
        </w:rPr>
        <w:t xml:space="preserve">2. </w:t>
      </w:r>
      <w:r w:rsidR="0021466E" w:rsidRPr="0021466E">
        <w:rPr>
          <w:rFonts w:cs="Calibri"/>
          <w:b/>
          <w:sz w:val="27"/>
          <w:szCs w:val="27"/>
          <w:lang w:eastAsia="es-MX"/>
        </w:rPr>
        <w:t>Determinación del cumplimiento de los requisitos de la solicitud de Plebiscito IEPC-MPC</w:t>
      </w:r>
      <w:r w:rsidR="0021466E">
        <w:rPr>
          <w:rFonts w:cs="Calibri"/>
          <w:b/>
          <w:sz w:val="27"/>
          <w:szCs w:val="27"/>
          <w:lang w:eastAsia="es-MX"/>
        </w:rPr>
        <w:t>-</w:t>
      </w:r>
      <w:r w:rsidR="0021466E" w:rsidRPr="0021466E">
        <w:rPr>
          <w:rFonts w:cs="Calibri"/>
          <w:b/>
          <w:sz w:val="27"/>
          <w:szCs w:val="27"/>
          <w:lang w:eastAsia="es-MX"/>
        </w:rPr>
        <w:t>PM01/2019.</w:t>
      </w:r>
      <w:r w:rsidR="0021466E" w:rsidRPr="0021466E">
        <w:rPr>
          <w:rFonts w:cs="Calibri"/>
          <w:bCs/>
          <w:sz w:val="27"/>
          <w:szCs w:val="27"/>
          <w:lang w:eastAsia="es-MX"/>
        </w:rPr>
        <w:t xml:space="preserve"> El dieciocho de octubre</w:t>
      </w:r>
      <w:r w:rsidR="0021466E">
        <w:rPr>
          <w:rFonts w:cs="Calibri"/>
          <w:bCs/>
          <w:sz w:val="27"/>
          <w:szCs w:val="27"/>
          <w:lang w:eastAsia="es-MX"/>
        </w:rPr>
        <w:t xml:space="preserve"> del mismo año</w:t>
      </w:r>
      <w:r w:rsidR="0021466E" w:rsidRPr="0021466E">
        <w:rPr>
          <w:rFonts w:cs="Calibri"/>
          <w:bCs/>
          <w:sz w:val="27"/>
          <w:szCs w:val="27"/>
          <w:lang w:eastAsia="es-MX"/>
        </w:rPr>
        <w:t>, el Consejo General del Instituto Electoral local, mediante acuerdo IEPC-ACG-032/2019, determinó que la solicitud del plebiscito cumplió con los requisitos establecidos en la ley de la materia, por lo que remitió al Consejo Municipal de Participación Ciudadana, para que resolviera respecto de su procedencia.</w:t>
      </w:r>
    </w:p>
    <w:p w14:paraId="1925ECBE" w14:textId="5EF7FEE7" w:rsidR="0021466E" w:rsidRDefault="0021466E" w:rsidP="00E94B7B">
      <w:pPr>
        <w:spacing w:after="0" w:line="360" w:lineRule="auto"/>
        <w:jc w:val="both"/>
        <w:rPr>
          <w:rFonts w:cs="Calibri"/>
          <w:bCs/>
          <w:sz w:val="27"/>
          <w:szCs w:val="27"/>
          <w:lang w:eastAsia="es-MX"/>
        </w:rPr>
      </w:pPr>
      <w:bookmarkStart w:id="0" w:name="_GoBack"/>
      <w:bookmarkEnd w:id="0"/>
    </w:p>
    <w:p w14:paraId="6AFAC180" w14:textId="14662809" w:rsidR="0021466E" w:rsidRPr="0021466E" w:rsidRDefault="0021466E" w:rsidP="00E94B7B">
      <w:pPr>
        <w:spacing w:after="0" w:line="360" w:lineRule="auto"/>
        <w:jc w:val="both"/>
        <w:rPr>
          <w:rFonts w:cs="Calibri"/>
          <w:bCs/>
          <w:sz w:val="27"/>
          <w:szCs w:val="27"/>
          <w:lang w:eastAsia="es-MX"/>
        </w:rPr>
      </w:pPr>
      <w:r w:rsidRPr="0021466E">
        <w:rPr>
          <w:rFonts w:cs="Calibri"/>
          <w:b/>
          <w:sz w:val="27"/>
          <w:szCs w:val="27"/>
          <w:lang w:eastAsia="es-MX"/>
        </w:rPr>
        <w:t xml:space="preserve">3. Resolución del Consejo Municipal de Participación Ciudadana. </w:t>
      </w:r>
      <w:r w:rsidRPr="0021466E">
        <w:rPr>
          <w:rFonts w:cs="Calibri"/>
          <w:bCs/>
          <w:sz w:val="27"/>
          <w:szCs w:val="27"/>
          <w:lang w:eastAsia="es-MX"/>
        </w:rPr>
        <w:t>No obstante,</w:t>
      </w:r>
      <w:r>
        <w:rPr>
          <w:rFonts w:cs="Calibri"/>
          <w:b/>
          <w:sz w:val="27"/>
          <w:szCs w:val="27"/>
          <w:lang w:eastAsia="es-MX"/>
        </w:rPr>
        <w:t xml:space="preserve"> </w:t>
      </w:r>
      <w:r w:rsidRPr="0021466E">
        <w:rPr>
          <w:rFonts w:cs="Calibri"/>
          <w:bCs/>
          <w:sz w:val="27"/>
          <w:szCs w:val="27"/>
          <w:lang w:eastAsia="es-MX"/>
        </w:rPr>
        <w:t>el catorce de noviembre</w:t>
      </w:r>
      <w:r>
        <w:rPr>
          <w:rFonts w:cs="Calibri"/>
          <w:bCs/>
          <w:sz w:val="27"/>
          <w:szCs w:val="27"/>
          <w:lang w:eastAsia="es-MX"/>
        </w:rPr>
        <w:t xml:space="preserve"> siguiente</w:t>
      </w:r>
      <w:r w:rsidRPr="0021466E">
        <w:rPr>
          <w:rFonts w:cs="Calibri"/>
          <w:bCs/>
          <w:sz w:val="27"/>
          <w:szCs w:val="27"/>
          <w:lang w:eastAsia="es-MX"/>
        </w:rPr>
        <w:t>, el Consejo Municipal de Participación Ciudadana determinó declarar improcedente el plebiscito IEPC</w:t>
      </w:r>
      <w:r>
        <w:rPr>
          <w:rFonts w:cs="Calibri"/>
          <w:bCs/>
          <w:sz w:val="27"/>
          <w:szCs w:val="27"/>
          <w:lang w:eastAsia="es-MX"/>
        </w:rPr>
        <w:t>-</w:t>
      </w:r>
      <w:r w:rsidRPr="0021466E">
        <w:rPr>
          <w:rFonts w:cs="Calibri"/>
          <w:bCs/>
          <w:sz w:val="27"/>
          <w:szCs w:val="27"/>
          <w:lang w:eastAsia="es-MX"/>
        </w:rPr>
        <w:t>MPC-PM01/2019.</w:t>
      </w:r>
    </w:p>
    <w:p w14:paraId="4EF11C3A" w14:textId="2CAF441D" w:rsidR="0021466E" w:rsidRDefault="0021466E" w:rsidP="00E94B7B">
      <w:pPr>
        <w:spacing w:after="0" w:line="360" w:lineRule="auto"/>
        <w:jc w:val="both"/>
        <w:rPr>
          <w:rFonts w:cstheme="minorHAnsi"/>
          <w:b/>
          <w:sz w:val="27"/>
          <w:szCs w:val="27"/>
          <w:lang w:eastAsia="es-MX"/>
        </w:rPr>
      </w:pPr>
    </w:p>
    <w:p w14:paraId="5AD4D357" w14:textId="217A6526" w:rsidR="0021466E" w:rsidRPr="0021466E" w:rsidRDefault="0021466E" w:rsidP="00E94B7B">
      <w:pPr>
        <w:spacing w:after="0" w:line="360" w:lineRule="auto"/>
        <w:jc w:val="both"/>
        <w:rPr>
          <w:rFonts w:cs="Calibri"/>
          <w:bCs/>
          <w:sz w:val="27"/>
          <w:szCs w:val="27"/>
          <w:lang w:eastAsia="es-MX"/>
        </w:rPr>
      </w:pPr>
      <w:r w:rsidRPr="0021466E">
        <w:rPr>
          <w:rFonts w:cs="Calibri"/>
          <w:b/>
          <w:sz w:val="27"/>
          <w:szCs w:val="27"/>
          <w:lang w:eastAsia="es-MX"/>
        </w:rPr>
        <w:t>4. Recurso de revisión (Acto impugnado primigenio).</w:t>
      </w:r>
      <w:r w:rsidRPr="0021466E">
        <w:rPr>
          <w:rFonts w:cs="Calibri"/>
          <w:bCs/>
          <w:sz w:val="27"/>
          <w:szCs w:val="27"/>
          <w:lang w:eastAsia="es-MX"/>
        </w:rPr>
        <w:t xml:space="preserve"> </w:t>
      </w:r>
      <w:r>
        <w:rPr>
          <w:rFonts w:cs="Calibri"/>
          <w:bCs/>
          <w:sz w:val="27"/>
          <w:szCs w:val="27"/>
          <w:lang w:eastAsia="es-MX"/>
        </w:rPr>
        <w:t>Inconforme con dicha determinación, e</w:t>
      </w:r>
      <w:r w:rsidRPr="0021466E">
        <w:rPr>
          <w:rFonts w:cs="Calibri"/>
          <w:bCs/>
          <w:sz w:val="27"/>
          <w:szCs w:val="27"/>
          <w:lang w:eastAsia="es-MX"/>
        </w:rPr>
        <w:t>l veintiséis de</w:t>
      </w:r>
      <w:r>
        <w:rPr>
          <w:rFonts w:cs="Calibri"/>
          <w:bCs/>
          <w:sz w:val="27"/>
          <w:szCs w:val="27"/>
          <w:lang w:eastAsia="es-MX"/>
        </w:rPr>
        <w:t>l mismo mes y año</w:t>
      </w:r>
      <w:r w:rsidRPr="0021466E">
        <w:rPr>
          <w:rFonts w:cs="Calibri"/>
          <w:bCs/>
          <w:sz w:val="27"/>
          <w:szCs w:val="27"/>
          <w:lang w:eastAsia="es-MX"/>
        </w:rPr>
        <w:t xml:space="preserve">, Gustavo de la Torre Navarro, promovió recurso de revisión ante el Instituto Electoral local, </w:t>
      </w:r>
      <w:r>
        <w:rPr>
          <w:rFonts w:cs="Calibri"/>
          <w:bCs/>
          <w:sz w:val="27"/>
          <w:szCs w:val="27"/>
          <w:lang w:eastAsia="es-MX"/>
        </w:rPr>
        <w:t xml:space="preserve">mismo que </w:t>
      </w:r>
      <w:r w:rsidRPr="0021466E">
        <w:rPr>
          <w:rFonts w:cs="Calibri"/>
          <w:bCs/>
          <w:sz w:val="27"/>
          <w:szCs w:val="27"/>
          <w:lang w:eastAsia="es-MX"/>
        </w:rPr>
        <w:t xml:space="preserve">quedó registrado con el número REV-001/2020, </w:t>
      </w:r>
      <w:r>
        <w:rPr>
          <w:rFonts w:cs="Calibri"/>
          <w:bCs/>
          <w:sz w:val="27"/>
          <w:szCs w:val="27"/>
          <w:lang w:eastAsia="es-MX"/>
        </w:rPr>
        <w:t>y fue</w:t>
      </w:r>
      <w:r w:rsidRPr="0021466E">
        <w:rPr>
          <w:rFonts w:cs="Calibri"/>
          <w:bCs/>
          <w:sz w:val="27"/>
          <w:szCs w:val="27"/>
          <w:lang w:eastAsia="es-MX"/>
        </w:rPr>
        <w:t xml:space="preserve"> resuelto por el referido </w:t>
      </w:r>
      <w:r>
        <w:rPr>
          <w:rFonts w:cs="Calibri"/>
          <w:bCs/>
          <w:sz w:val="27"/>
          <w:szCs w:val="27"/>
          <w:lang w:eastAsia="es-MX"/>
        </w:rPr>
        <w:t>Instituto</w:t>
      </w:r>
      <w:r w:rsidRPr="0021466E">
        <w:rPr>
          <w:rFonts w:cs="Calibri"/>
          <w:bCs/>
          <w:sz w:val="27"/>
          <w:szCs w:val="27"/>
          <w:lang w:eastAsia="es-MX"/>
        </w:rPr>
        <w:t xml:space="preserve"> el veintisiete de enero de dos mil veinte, en </w:t>
      </w:r>
      <w:r>
        <w:rPr>
          <w:rFonts w:cs="Calibri"/>
          <w:bCs/>
          <w:sz w:val="27"/>
          <w:szCs w:val="27"/>
          <w:lang w:eastAsia="es-MX"/>
        </w:rPr>
        <w:t>el sentido de revocar la determinación del Consejo Municipal y declarar procedente el plebiscito solicitado.</w:t>
      </w:r>
    </w:p>
    <w:p w14:paraId="57128607" w14:textId="7CAC9414" w:rsidR="00E94B7B" w:rsidRDefault="00E94B7B" w:rsidP="00E94B7B">
      <w:pPr>
        <w:spacing w:after="0" w:line="360" w:lineRule="auto"/>
        <w:jc w:val="both"/>
        <w:rPr>
          <w:rFonts w:cstheme="minorHAnsi"/>
          <w:sz w:val="27"/>
          <w:szCs w:val="27"/>
          <w:lang w:eastAsia="es-MX"/>
        </w:rPr>
      </w:pPr>
    </w:p>
    <w:p w14:paraId="03B9C5CB" w14:textId="0D8DBAC0" w:rsidR="00E94B7B" w:rsidRPr="00E94B7B" w:rsidRDefault="00E94B7B" w:rsidP="00E94B7B">
      <w:pPr>
        <w:spacing w:after="0" w:line="360" w:lineRule="auto"/>
        <w:jc w:val="both"/>
        <w:rPr>
          <w:rFonts w:cstheme="minorHAnsi"/>
          <w:b/>
          <w:bCs/>
          <w:sz w:val="27"/>
          <w:szCs w:val="27"/>
          <w:lang w:eastAsia="es-MX"/>
        </w:rPr>
      </w:pPr>
      <w:r w:rsidRPr="00E94B7B">
        <w:rPr>
          <w:rFonts w:cstheme="minorHAnsi"/>
          <w:b/>
          <w:bCs/>
          <w:sz w:val="27"/>
          <w:szCs w:val="27"/>
          <w:lang w:eastAsia="es-MX"/>
        </w:rPr>
        <w:t xml:space="preserve">II. Acto Impugnado. </w:t>
      </w:r>
    </w:p>
    <w:p w14:paraId="31057B98" w14:textId="615BFCE7" w:rsidR="00E94B7B" w:rsidRDefault="00E94B7B" w:rsidP="00E94B7B">
      <w:pPr>
        <w:spacing w:after="0" w:line="360" w:lineRule="auto"/>
        <w:jc w:val="both"/>
        <w:rPr>
          <w:rFonts w:cstheme="minorHAnsi"/>
          <w:b/>
          <w:sz w:val="27"/>
          <w:szCs w:val="27"/>
          <w:lang w:eastAsia="es-MX"/>
        </w:rPr>
      </w:pPr>
    </w:p>
    <w:p w14:paraId="44B4C9F5" w14:textId="5D9EA43A" w:rsidR="00E94B7B" w:rsidRDefault="00E94B7B" w:rsidP="00E94B7B">
      <w:pPr>
        <w:spacing w:after="0" w:line="360" w:lineRule="auto"/>
        <w:jc w:val="both"/>
        <w:rPr>
          <w:rFonts w:cs="Calibri"/>
          <w:sz w:val="27"/>
          <w:szCs w:val="27"/>
          <w:lang w:eastAsia="es-MX"/>
        </w:rPr>
      </w:pPr>
      <w:r w:rsidRPr="00E94B7B">
        <w:rPr>
          <w:rFonts w:cstheme="minorHAnsi"/>
          <w:bCs/>
          <w:sz w:val="27"/>
          <w:szCs w:val="27"/>
          <w:lang w:eastAsia="es-MX"/>
        </w:rPr>
        <w:t>Inconformes con la resolución anterior, la Universidad de Guadalajara y el Ayuntamiento de Tlaquepaque, Jalisco, a través de sus respectivos representantes, interpusieron ante el Tribunal Electoral del Estado de Jalisco, sendos recursos de apelación mismos que fueron registrados con la clave de expedientes RAP-004/2020 y RAP-005/2020, y resueltos mediante sentencia del ocho de septiembre de este año, en la que se</w:t>
      </w:r>
      <w:r>
        <w:rPr>
          <w:rFonts w:cs="Calibri"/>
          <w:sz w:val="27"/>
          <w:szCs w:val="27"/>
          <w:lang w:eastAsia="es-MX"/>
        </w:rPr>
        <w:t xml:space="preserve"> </w:t>
      </w:r>
      <w:r>
        <w:rPr>
          <w:rFonts w:cs="Calibri"/>
          <w:sz w:val="27"/>
          <w:szCs w:val="27"/>
          <w:lang w:eastAsia="es-MX"/>
        </w:rPr>
        <w:lastRenderedPageBreak/>
        <w:t xml:space="preserve">revocó la resolución REV-001/2020, y como consecuencia se declaró improcedente la solicitud del </w:t>
      </w:r>
      <w:proofErr w:type="spellStart"/>
      <w:r>
        <w:rPr>
          <w:rFonts w:cs="Calibri"/>
          <w:sz w:val="27"/>
          <w:szCs w:val="27"/>
          <w:lang w:eastAsia="es-MX"/>
        </w:rPr>
        <w:t>multireferido</w:t>
      </w:r>
      <w:proofErr w:type="spellEnd"/>
      <w:r>
        <w:rPr>
          <w:rFonts w:cs="Calibri"/>
          <w:sz w:val="27"/>
          <w:szCs w:val="27"/>
          <w:lang w:eastAsia="es-MX"/>
        </w:rPr>
        <w:t xml:space="preserve"> plebiscito.  </w:t>
      </w:r>
    </w:p>
    <w:p w14:paraId="0AFB2F8D" w14:textId="0ACA609B" w:rsidR="00E94B7B" w:rsidRDefault="00E94B7B" w:rsidP="00E94B7B">
      <w:pPr>
        <w:spacing w:after="0" w:line="360" w:lineRule="auto"/>
        <w:jc w:val="both"/>
        <w:rPr>
          <w:rFonts w:cstheme="minorHAnsi"/>
          <w:b/>
          <w:sz w:val="27"/>
          <w:szCs w:val="27"/>
          <w:lang w:eastAsia="es-MX"/>
        </w:rPr>
      </w:pPr>
      <w:r>
        <w:rPr>
          <w:rFonts w:cstheme="minorHAnsi"/>
          <w:b/>
          <w:sz w:val="27"/>
          <w:szCs w:val="27"/>
          <w:lang w:eastAsia="es-MX"/>
        </w:rPr>
        <w:t xml:space="preserve"> </w:t>
      </w:r>
    </w:p>
    <w:p w14:paraId="10E8D881" w14:textId="43C0D52E" w:rsidR="00E94B7B" w:rsidRDefault="00E94B7B" w:rsidP="00E94B7B">
      <w:pPr>
        <w:spacing w:after="0" w:line="360" w:lineRule="auto"/>
        <w:jc w:val="both"/>
        <w:rPr>
          <w:rFonts w:cstheme="minorHAnsi"/>
          <w:b/>
          <w:sz w:val="27"/>
          <w:szCs w:val="27"/>
          <w:lang w:eastAsia="es-MX"/>
        </w:rPr>
      </w:pPr>
      <w:r>
        <w:rPr>
          <w:rFonts w:cstheme="minorHAnsi"/>
          <w:b/>
          <w:sz w:val="27"/>
          <w:szCs w:val="27"/>
          <w:lang w:eastAsia="es-MX"/>
        </w:rPr>
        <w:t xml:space="preserve">III. Juicio para la Protección de los Derechos </w:t>
      </w:r>
      <w:proofErr w:type="gramStart"/>
      <w:r>
        <w:rPr>
          <w:rFonts w:cstheme="minorHAnsi"/>
          <w:b/>
          <w:sz w:val="27"/>
          <w:szCs w:val="27"/>
          <w:lang w:eastAsia="es-MX"/>
        </w:rPr>
        <w:t>Político Electorales</w:t>
      </w:r>
      <w:proofErr w:type="gramEnd"/>
      <w:r>
        <w:rPr>
          <w:rFonts w:cstheme="minorHAnsi"/>
          <w:b/>
          <w:sz w:val="27"/>
          <w:szCs w:val="27"/>
          <w:lang w:eastAsia="es-MX"/>
        </w:rPr>
        <w:t xml:space="preserve"> del Ciudadano. </w:t>
      </w:r>
    </w:p>
    <w:p w14:paraId="0BD7AB0F" w14:textId="77777777" w:rsidR="00E94B7B" w:rsidRDefault="00E94B7B" w:rsidP="00E94B7B">
      <w:pPr>
        <w:spacing w:after="0" w:line="360" w:lineRule="auto"/>
        <w:jc w:val="both"/>
        <w:rPr>
          <w:rFonts w:cstheme="minorHAnsi"/>
          <w:b/>
          <w:sz w:val="27"/>
          <w:szCs w:val="27"/>
          <w:lang w:eastAsia="es-MX"/>
        </w:rPr>
      </w:pPr>
    </w:p>
    <w:p w14:paraId="347FB937" w14:textId="09F33C1F" w:rsidR="00A23664" w:rsidRPr="007B211B" w:rsidRDefault="007B211B" w:rsidP="00E94B7B">
      <w:pPr>
        <w:spacing w:after="0" w:line="360" w:lineRule="auto"/>
        <w:jc w:val="both"/>
        <w:rPr>
          <w:rFonts w:cstheme="minorHAnsi"/>
          <w:sz w:val="27"/>
          <w:szCs w:val="27"/>
          <w:lang w:eastAsia="es-MX"/>
        </w:rPr>
      </w:pPr>
      <w:r>
        <w:rPr>
          <w:rFonts w:cstheme="minorHAnsi"/>
          <w:b/>
          <w:sz w:val="27"/>
          <w:szCs w:val="27"/>
          <w:lang w:eastAsia="es-MX"/>
        </w:rPr>
        <w:t xml:space="preserve">3. </w:t>
      </w:r>
      <w:r w:rsidR="00E00F2B" w:rsidRPr="007B211B">
        <w:rPr>
          <w:rFonts w:cstheme="minorHAnsi"/>
          <w:b/>
          <w:sz w:val="27"/>
          <w:szCs w:val="27"/>
          <w:lang w:eastAsia="es-MX"/>
        </w:rPr>
        <w:t>Juicio ciudadano federal.</w:t>
      </w:r>
      <w:r w:rsidR="00E00F2B" w:rsidRPr="007B211B">
        <w:rPr>
          <w:rFonts w:cstheme="minorHAnsi"/>
          <w:sz w:val="27"/>
          <w:szCs w:val="27"/>
          <w:lang w:eastAsia="es-MX"/>
        </w:rPr>
        <w:t xml:space="preserve"> Inconforme con la anterior determinación, el </w:t>
      </w:r>
      <w:r w:rsidR="00E94B7B">
        <w:rPr>
          <w:rFonts w:cstheme="minorHAnsi"/>
          <w:sz w:val="27"/>
          <w:szCs w:val="27"/>
          <w:lang w:eastAsia="es-MX"/>
        </w:rPr>
        <w:t>once</w:t>
      </w:r>
      <w:r w:rsidR="00E00F2B" w:rsidRPr="007B211B">
        <w:rPr>
          <w:rFonts w:cstheme="minorHAnsi"/>
          <w:sz w:val="27"/>
          <w:szCs w:val="27"/>
          <w:lang w:eastAsia="es-MX"/>
        </w:rPr>
        <w:t xml:space="preserve"> de </w:t>
      </w:r>
      <w:r w:rsidR="00E94B7B">
        <w:rPr>
          <w:rFonts w:cstheme="minorHAnsi"/>
          <w:sz w:val="27"/>
          <w:szCs w:val="27"/>
          <w:lang w:eastAsia="es-MX"/>
        </w:rPr>
        <w:t>septiembre</w:t>
      </w:r>
      <w:r w:rsidR="00E00F2B" w:rsidRPr="007B211B">
        <w:rPr>
          <w:rFonts w:cstheme="minorHAnsi"/>
          <w:sz w:val="27"/>
          <w:szCs w:val="27"/>
          <w:lang w:eastAsia="es-MX"/>
        </w:rPr>
        <w:t xml:space="preserve"> posterior, </w:t>
      </w:r>
      <w:r w:rsidR="00E94B7B">
        <w:rPr>
          <w:rFonts w:cstheme="minorHAnsi"/>
          <w:sz w:val="27"/>
          <w:szCs w:val="27"/>
          <w:lang w:eastAsia="es-MX"/>
        </w:rPr>
        <w:t>Gustavo de la Torre Navarro</w:t>
      </w:r>
      <w:r w:rsidR="00E00F2B" w:rsidRPr="007B211B">
        <w:rPr>
          <w:rFonts w:cstheme="minorHAnsi"/>
          <w:sz w:val="27"/>
          <w:szCs w:val="27"/>
          <w:lang w:eastAsia="es-MX"/>
        </w:rPr>
        <w:t xml:space="preserve"> promovió el medio de impugnación que nos ocupa ante el Tribunal local.</w:t>
      </w:r>
    </w:p>
    <w:p w14:paraId="22F14ED8" w14:textId="77777777" w:rsidR="00A23664" w:rsidRPr="00E53C3B" w:rsidRDefault="00A23664" w:rsidP="00E94B7B">
      <w:pPr>
        <w:pStyle w:val="Prrafodelista"/>
        <w:spacing w:line="360" w:lineRule="auto"/>
        <w:ind w:left="360"/>
        <w:contextualSpacing w:val="0"/>
        <w:jc w:val="both"/>
        <w:rPr>
          <w:rFonts w:asciiTheme="minorHAnsi" w:hAnsiTheme="minorHAnsi" w:cstheme="minorHAnsi"/>
          <w:sz w:val="27"/>
          <w:szCs w:val="27"/>
          <w:lang w:eastAsia="es-MX"/>
        </w:rPr>
      </w:pPr>
    </w:p>
    <w:p w14:paraId="1E6A8279" w14:textId="23FD903B" w:rsidR="001841B9" w:rsidRPr="000D6CFC" w:rsidRDefault="00E00F2B" w:rsidP="00E94B7B">
      <w:pPr>
        <w:spacing w:after="0" w:line="360" w:lineRule="auto"/>
        <w:jc w:val="both"/>
        <w:rPr>
          <w:rFonts w:cstheme="minorHAnsi"/>
          <w:sz w:val="27"/>
          <w:szCs w:val="27"/>
          <w:lang w:eastAsia="es-MX"/>
        </w:rPr>
      </w:pPr>
      <w:r w:rsidRPr="000D6CFC">
        <w:rPr>
          <w:rFonts w:cstheme="minorHAnsi"/>
          <w:sz w:val="27"/>
          <w:szCs w:val="27"/>
          <w:lang w:eastAsia="es-MX"/>
        </w:rPr>
        <w:t xml:space="preserve">Una vez recibidas las constancias atinentes en esta Sala Regional, por acuerdo de </w:t>
      </w:r>
      <w:r w:rsidR="00E94B7B">
        <w:rPr>
          <w:rFonts w:cstheme="minorHAnsi"/>
          <w:sz w:val="27"/>
          <w:szCs w:val="27"/>
          <w:lang w:eastAsia="es-MX"/>
        </w:rPr>
        <w:t>diecisiete</w:t>
      </w:r>
      <w:r w:rsidRPr="000D6CFC">
        <w:rPr>
          <w:rFonts w:cstheme="minorHAnsi"/>
          <w:sz w:val="27"/>
          <w:szCs w:val="27"/>
          <w:lang w:eastAsia="es-MX"/>
        </w:rPr>
        <w:t xml:space="preserve"> de </w:t>
      </w:r>
      <w:r w:rsidR="00E94B7B">
        <w:rPr>
          <w:rFonts w:cstheme="minorHAnsi"/>
          <w:sz w:val="27"/>
          <w:szCs w:val="27"/>
          <w:lang w:eastAsia="es-MX"/>
        </w:rPr>
        <w:t>septiembre</w:t>
      </w:r>
      <w:r w:rsidRPr="000D6CFC">
        <w:rPr>
          <w:rFonts w:cstheme="minorHAnsi"/>
          <w:sz w:val="27"/>
          <w:szCs w:val="27"/>
          <w:lang w:eastAsia="es-MX"/>
        </w:rPr>
        <w:t xml:space="preserve">, el Magistrado Presidente acordó registrar el expediente respectivo y turnarlo a </w:t>
      </w:r>
      <w:r w:rsidR="000D6CFC">
        <w:rPr>
          <w:rFonts w:cstheme="minorHAnsi"/>
          <w:sz w:val="27"/>
          <w:szCs w:val="27"/>
          <w:lang w:eastAsia="es-MX"/>
        </w:rPr>
        <w:t>su propia</w:t>
      </w:r>
      <w:r w:rsidRPr="000D6CFC">
        <w:rPr>
          <w:rFonts w:cstheme="minorHAnsi"/>
          <w:sz w:val="27"/>
          <w:szCs w:val="27"/>
          <w:lang w:eastAsia="es-MX"/>
        </w:rPr>
        <w:t xml:space="preserve"> Ponencia, para su sustanciación.</w:t>
      </w:r>
    </w:p>
    <w:p w14:paraId="771C12CD" w14:textId="77777777" w:rsidR="001841B9" w:rsidRPr="00E53C3B" w:rsidRDefault="001841B9" w:rsidP="00E94B7B">
      <w:pPr>
        <w:pStyle w:val="Prrafodelista"/>
        <w:spacing w:line="360" w:lineRule="auto"/>
        <w:ind w:left="360"/>
        <w:contextualSpacing w:val="0"/>
        <w:jc w:val="both"/>
        <w:rPr>
          <w:rFonts w:asciiTheme="minorHAnsi" w:hAnsiTheme="minorHAnsi" w:cstheme="minorHAnsi"/>
          <w:sz w:val="27"/>
          <w:szCs w:val="27"/>
          <w:lang w:eastAsia="es-MX"/>
        </w:rPr>
      </w:pPr>
    </w:p>
    <w:p w14:paraId="0B0A412E" w14:textId="5D7BF470" w:rsidR="00964789" w:rsidRPr="00E94B7B" w:rsidRDefault="00E00F2B" w:rsidP="00E94B7B">
      <w:pPr>
        <w:spacing w:line="360" w:lineRule="auto"/>
        <w:jc w:val="both"/>
        <w:rPr>
          <w:rFonts w:cstheme="minorHAnsi"/>
          <w:sz w:val="27"/>
          <w:szCs w:val="27"/>
          <w:lang w:eastAsia="es-MX"/>
        </w:rPr>
      </w:pPr>
      <w:r w:rsidRPr="00E94B7B">
        <w:rPr>
          <w:rFonts w:cstheme="minorHAnsi"/>
          <w:sz w:val="27"/>
          <w:szCs w:val="27"/>
          <w:lang w:eastAsia="es-MX"/>
        </w:rPr>
        <w:t xml:space="preserve">Posteriormente, el </w:t>
      </w:r>
      <w:r w:rsidR="00E94B7B">
        <w:rPr>
          <w:rFonts w:cstheme="minorHAnsi"/>
          <w:sz w:val="27"/>
          <w:szCs w:val="27"/>
          <w:lang w:eastAsia="es-MX"/>
        </w:rPr>
        <w:t>veintiuno</w:t>
      </w:r>
      <w:r w:rsidRPr="00E94B7B">
        <w:rPr>
          <w:rFonts w:cstheme="minorHAnsi"/>
          <w:sz w:val="27"/>
          <w:szCs w:val="27"/>
          <w:lang w:eastAsia="es-MX"/>
        </w:rPr>
        <w:t xml:space="preserve"> del mismo mes, se radicó el expediente</w:t>
      </w:r>
      <w:r w:rsidR="00E94B7B">
        <w:rPr>
          <w:rFonts w:cstheme="minorHAnsi"/>
          <w:sz w:val="27"/>
          <w:szCs w:val="27"/>
          <w:lang w:eastAsia="es-MX"/>
        </w:rPr>
        <w:t xml:space="preserve"> y se tuvo compareciendo al tercero interesado</w:t>
      </w:r>
      <w:r w:rsidRPr="00E94B7B">
        <w:rPr>
          <w:rFonts w:cstheme="minorHAnsi"/>
          <w:sz w:val="27"/>
          <w:szCs w:val="27"/>
          <w:lang w:eastAsia="es-MX"/>
        </w:rPr>
        <w:t>; en su oportunidad, se admitió la demanda</w:t>
      </w:r>
      <w:r w:rsidR="00E94B7B">
        <w:rPr>
          <w:rFonts w:cstheme="minorHAnsi"/>
          <w:sz w:val="27"/>
          <w:szCs w:val="27"/>
          <w:lang w:eastAsia="es-MX"/>
        </w:rPr>
        <w:t xml:space="preserve"> y el escrito de tercero;</w:t>
      </w:r>
      <w:r w:rsidRPr="00E94B7B">
        <w:rPr>
          <w:rFonts w:cstheme="minorHAnsi"/>
          <w:sz w:val="27"/>
          <w:szCs w:val="27"/>
          <w:lang w:eastAsia="es-MX"/>
        </w:rPr>
        <w:t xml:space="preserve"> </w:t>
      </w:r>
      <w:r w:rsidR="00E94B7B">
        <w:rPr>
          <w:rFonts w:cstheme="minorHAnsi"/>
          <w:sz w:val="27"/>
          <w:szCs w:val="27"/>
          <w:lang w:eastAsia="es-MX"/>
        </w:rPr>
        <w:t>finalmente</w:t>
      </w:r>
      <w:r w:rsidRPr="00E94B7B">
        <w:rPr>
          <w:rFonts w:cstheme="minorHAnsi"/>
          <w:sz w:val="27"/>
          <w:szCs w:val="27"/>
          <w:lang w:eastAsia="es-MX"/>
        </w:rPr>
        <w:t xml:space="preserve"> se cerró la instrucción, quedando el asunto en estado de resolución.</w:t>
      </w:r>
    </w:p>
    <w:p w14:paraId="23733B2F" w14:textId="77777777" w:rsidR="00964789" w:rsidRPr="00E53C3B" w:rsidRDefault="00964789" w:rsidP="00E94B7B">
      <w:pPr>
        <w:spacing w:after="0" w:line="360" w:lineRule="auto"/>
        <w:jc w:val="both"/>
        <w:rPr>
          <w:rFonts w:cstheme="minorHAnsi"/>
          <w:sz w:val="27"/>
          <w:szCs w:val="27"/>
          <w:lang w:eastAsia="es-MX"/>
        </w:rPr>
      </w:pPr>
    </w:p>
    <w:p w14:paraId="16B239C4" w14:textId="77777777" w:rsidR="00964789" w:rsidRPr="00E53C3B" w:rsidRDefault="000D6CFC" w:rsidP="00E94B7B">
      <w:pPr>
        <w:spacing w:after="0" w:line="360" w:lineRule="auto"/>
        <w:jc w:val="center"/>
        <w:rPr>
          <w:rFonts w:cstheme="minorHAnsi"/>
          <w:b/>
          <w:sz w:val="27"/>
          <w:szCs w:val="27"/>
          <w:lang w:eastAsia="es-MX"/>
        </w:rPr>
      </w:pPr>
      <w:r>
        <w:rPr>
          <w:rFonts w:cstheme="minorHAnsi"/>
          <w:b/>
          <w:sz w:val="27"/>
          <w:szCs w:val="27"/>
          <w:lang w:eastAsia="es-MX"/>
        </w:rPr>
        <w:t xml:space="preserve">C O N S I D E R A N D </w:t>
      </w:r>
      <w:proofErr w:type="gramStart"/>
      <w:r>
        <w:rPr>
          <w:rFonts w:cstheme="minorHAnsi"/>
          <w:b/>
          <w:sz w:val="27"/>
          <w:szCs w:val="27"/>
          <w:lang w:eastAsia="es-MX"/>
        </w:rPr>
        <w:t>O :</w:t>
      </w:r>
      <w:proofErr w:type="gramEnd"/>
    </w:p>
    <w:p w14:paraId="4E5ED6D0" w14:textId="77777777" w:rsidR="00964789" w:rsidRPr="00E53C3B" w:rsidRDefault="00964789" w:rsidP="00E94B7B">
      <w:pPr>
        <w:spacing w:after="0" w:line="360" w:lineRule="auto"/>
        <w:jc w:val="both"/>
        <w:rPr>
          <w:rFonts w:cstheme="minorHAnsi"/>
          <w:sz w:val="27"/>
          <w:szCs w:val="27"/>
          <w:lang w:eastAsia="es-MX"/>
        </w:rPr>
      </w:pPr>
    </w:p>
    <w:p w14:paraId="79AA5478" w14:textId="12DC2FCC" w:rsidR="001C6A27" w:rsidRDefault="00964789" w:rsidP="00E94B7B">
      <w:pPr>
        <w:spacing w:after="0" w:line="360" w:lineRule="auto"/>
        <w:jc w:val="both"/>
        <w:rPr>
          <w:rFonts w:cstheme="minorHAnsi"/>
          <w:bCs/>
          <w:sz w:val="27"/>
          <w:szCs w:val="27"/>
          <w:lang w:eastAsia="es-MX"/>
        </w:rPr>
      </w:pPr>
      <w:r w:rsidRPr="00E53C3B">
        <w:rPr>
          <w:rFonts w:cstheme="minorHAnsi"/>
          <w:b/>
          <w:bCs/>
          <w:sz w:val="27"/>
          <w:szCs w:val="27"/>
          <w:lang w:eastAsia="es-MX"/>
        </w:rPr>
        <w:t>PRIMER</w:t>
      </w:r>
      <w:r w:rsidR="00E90CD1">
        <w:rPr>
          <w:rFonts w:cstheme="minorHAnsi"/>
          <w:b/>
          <w:bCs/>
          <w:sz w:val="27"/>
          <w:szCs w:val="27"/>
          <w:lang w:eastAsia="es-MX"/>
        </w:rPr>
        <w:t>O</w:t>
      </w:r>
      <w:r w:rsidRPr="00E53C3B">
        <w:rPr>
          <w:rFonts w:cstheme="minorHAnsi"/>
          <w:b/>
          <w:bCs/>
          <w:sz w:val="27"/>
          <w:szCs w:val="27"/>
          <w:lang w:eastAsia="es-MX"/>
        </w:rPr>
        <w:t xml:space="preserve">. Jurisdicción y competencia. </w:t>
      </w:r>
      <w:r w:rsidRPr="00E53C3B">
        <w:rPr>
          <w:rFonts w:cstheme="minorHAnsi"/>
          <w:bCs/>
          <w:sz w:val="27"/>
          <w:szCs w:val="27"/>
          <w:lang w:eastAsia="es-MX"/>
        </w:rPr>
        <w:t xml:space="preserve">Esta Sala Regional correspondiente a la Primera Circunscripción Plurinominal con cabecera en la ciudad de Guadalajara, Jalisco, es competente para conocer y resolver el presente </w:t>
      </w:r>
      <w:r w:rsidRPr="00E53C3B">
        <w:rPr>
          <w:rFonts w:cstheme="minorHAnsi"/>
          <w:sz w:val="27"/>
          <w:szCs w:val="27"/>
          <w:lang w:eastAsia="es-MX"/>
        </w:rPr>
        <w:t xml:space="preserve">medio de impugnación promovido para controvertir la resolución del </w:t>
      </w:r>
      <w:r w:rsidR="00F65C13" w:rsidRPr="00E53C3B">
        <w:rPr>
          <w:rFonts w:cstheme="minorHAnsi"/>
          <w:bCs/>
          <w:sz w:val="27"/>
          <w:szCs w:val="27"/>
          <w:lang w:eastAsia="es-MX"/>
        </w:rPr>
        <w:t>Tribunal</w:t>
      </w:r>
      <w:r w:rsidR="001C6A27">
        <w:rPr>
          <w:rFonts w:cstheme="minorHAnsi"/>
          <w:bCs/>
          <w:sz w:val="27"/>
          <w:szCs w:val="27"/>
          <w:lang w:eastAsia="es-MX"/>
        </w:rPr>
        <w:t xml:space="preserve"> Electoral del Estado de Jalisco, </w:t>
      </w:r>
      <w:r w:rsidR="00F65C13" w:rsidRPr="00E53C3B">
        <w:rPr>
          <w:rFonts w:cstheme="minorHAnsi"/>
          <w:bCs/>
          <w:sz w:val="27"/>
          <w:szCs w:val="27"/>
          <w:lang w:eastAsia="es-MX"/>
        </w:rPr>
        <w:t xml:space="preserve">por la que, entre otras cuestiones, </w:t>
      </w:r>
      <w:r w:rsidR="001C6A27">
        <w:rPr>
          <w:rFonts w:cstheme="minorHAnsi"/>
          <w:bCs/>
          <w:sz w:val="27"/>
          <w:szCs w:val="27"/>
          <w:lang w:eastAsia="es-MX"/>
        </w:rPr>
        <w:t xml:space="preserve">se declaró la improcedencia de la solicitud de plebiscito </w:t>
      </w:r>
      <w:r w:rsidR="001C6A27" w:rsidRPr="0021466E">
        <w:rPr>
          <w:rFonts w:cs="Calibri"/>
          <w:bCs/>
          <w:sz w:val="27"/>
          <w:szCs w:val="27"/>
          <w:lang w:eastAsia="es-MX"/>
        </w:rPr>
        <w:t>IEPC</w:t>
      </w:r>
      <w:r w:rsidR="001C6A27">
        <w:rPr>
          <w:rFonts w:cs="Calibri"/>
          <w:bCs/>
          <w:sz w:val="27"/>
          <w:szCs w:val="27"/>
          <w:lang w:eastAsia="es-MX"/>
        </w:rPr>
        <w:t>-</w:t>
      </w:r>
      <w:r w:rsidR="001C6A27" w:rsidRPr="0021466E">
        <w:rPr>
          <w:rFonts w:cs="Calibri"/>
          <w:bCs/>
          <w:sz w:val="27"/>
          <w:szCs w:val="27"/>
          <w:lang w:eastAsia="es-MX"/>
        </w:rPr>
        <w:t>MPC-PM01/2019</w:t>
      </w:r>
      <w:r w:rsidR="001C6A27">
        <w:rPr>
          <w:rFonts w:cs="Calibri"/>
          <w:bCs/>
          <w:sz w:val="27"/>
          <w:szCs w:val="27"/>
          <w:lang w:eastAsia="es-MX"/>
        </w:rPr>
        <w:t xml:space="preserve">, promovido por el aquí actor. </w:t>
      </w:r>
    </w:p>
    <w:p w14:paraId="3C0C5868" w14:textId="77777777" w:rsidR="00F60959" w:rsidRPr="00E53C3B" w:rsidRDefault="00F60959" w:rsidP="00E94B7B">
      <w:pPr>
        <w:spacing w:after="0" w:line="360" w:lineRule="auto"/>
        <w:jc w:val="both"/>
        <w:rPr>
          <w:rFonts w:cstheme="minorHAnsi"/>
          <w:bCs/>
          <w:sz w:val="27"/>
          <w:szCs w:val="27"/>
          <w:lang w:eastAsia="es-MX"/>
        </w:rPr>
      </w:pPr>
    </w:p>
    <w:p w14:paraId="40A85AF5" w14:textId="77777777" w:rsidR="00964789" w:rsidRDefault="00964789" w:rsidP="00E94B7B">
      <w:pPr>
        <w:spacing w:after="0" w:line="360" w:lineRule="auto"/>
        <w:jc w:val="both"/>
        <w:rPr>
          <w:rFonts w:cstheme="minorHAnsi"/>
          <w:bCs/>
          <w:sz w:val="27"/>
          <w:szCs w:val="27"/>
          <w:lang w:eastAsia="es-MX"/>
        </w:rPr>
      </w:pPr>
      <w:r w:rsidRPr="00E53C3B">
        <w:rPr>
          <w:rFonts w:cstheme="minorHAnsi"/>
          <w:bCs/>
          <w:sz w:val="27"/>
          <w:szCs w:val="27"/>
          <w:lang w:eastAsia="es-MX"/>
        </w:rPr>
        <w:t>Con fundamento en:</w:t>
      </w:r>
    </w:p>
    <w:p w14:paraId="15B6464B" w14:textId="77777777" w:rsidR="00B351C9" w:rsidRPr="00E53C3B" w:rsidRDefault="00B351C9" w:rsidP="00E94B7B">
      <w:pPr>
        <w:spacing w:after="0" w:line="360" w:lineRule="auto"/>
        <w:jc w:val="both"/>
        <w:rPr>
          <w:rFonts w:cstheme="minorHAnsi"/>
          <w:bCs/>
          <w:sz w:val="27"/>
          <w:szCs w:val="27"/>
          <w:lang w:eastAsia="es-MX"/>
        </w:rPr>
      </w:pPr>
    </w:p>
    <w:p w14:paraId="0CB36432" w14:textId="77777777" w:rsidR="00DD255F" w:rsidRPr="00E53C3B" w:rsidRDefault="00DD255F" w:rsidP="00E94B7B">
      <w:pPr>
        <w:pStyle w:val="Prrafodelista"/>
        <w:numPr>
          <w:ilvl w:val="0"/>
          <w:numId w:val="17"/>
        </w:numPr>
        <w:tabs>
          <w:tab w:val="left" w:pos="284"/>
        </w:tabs>
        <w:spacing w:line="360" w:lineRule="auto"/>
        <w:ind w:left="714" w:hanging="357"/>
        <w:contextualSpacing w:val="0"/>
        <w:jc w:val="both"/>
        <w:rPr>
          <w:rFonts w:asciiTheme="minorHAnsi" w:hAnsiTheme="minorHAnsi" w:cstheme="minorHAnsi"/>
          <w:bCs/>
          <w:sz w:val="27"/>
          <w:szCs w:val="27"/>
          <w:lang w:eastAsia="es-MX"/>
        </w:rPr>
      </w:pPr>
      <w:r w:rsidRPr="00E53C3B">
        <w:rPr>
          <w:rFonts w:asciiTheme="minorHAnsi" w:hAnsiTheme="minorHAnsi" w:cstheme="minorHAnsi"/>
          <w:b/>
          <w:bCs/>
          <w:sz w:val="27"/>
          <w:szCs w:val="27"/>
          <w:lang w:val="x-none" w:eastAsia="es-MX"/>
        </w:rPr>
        <w:t>Constitución Política de los Estados Unidos Mexicanos</w:t>
      </w:r>
      <w:r w:rsidRPr="00E53C3B">
        <w:rPr>
          <w:rFonts w:asciiTheme="minorHAnsi" w:hAnsiTheme="minorHAnsi" w:cstheme="minorHAnsi"/>
          <w:bCs/>
          <w:sz w:val="27"/>
          <w:szCs w:val="27"/>
          <w:lang w:eastAsia="es-MX"/>
        </w:rPr>
        <w:t xml:space="preserve"> (Constitución): </w:t>
      </w:r>
      <w:r w:rsidRPr="00E53C3B">
        <w:rPr>
          <w:rFonts w:asciiTheme="minorHAnsi" w:hAnsiTheme="minorHAnsi" w:cstheme="minorHAnsi"/>
          <w:bCs/>
          <w:sz w:val="27"/>
          <w:szCs w:val="27"/>
          <w:lang w:val="x-none" w:eastAsia="es-MX"/>
        </w:rPr>
        <w:t>Artículos 41, párrafo segundo, base VI</w:t>
      </w:r>
      <w:r w:rsidRPr="00E53C3B">
        <w:rPr>
          <w:rFonts w:asciiTheme="minorHAnsi" w:hAnsiTheme="minorHAnsi" w:cstheme="minorHAnsi"/>
          <w:bCs/>
          <w:sz w:val="27"/>
          <w:szCs w:val="27"/>
          <w:lang w:eastAsia="es-MX"/>
        </w:rPr>
        <w:t>;</w:t>
      </w:r>
      <w:r w:rsidRPr="00E53C3B">
        <w:rPr>
          <w:rFonts w:asciiTheme="minorHAnsi" w:hAnsiTheme="minorHAnsi" w:cstheme="minorHAnsi"/>
          <w:bCs/>
          <w:sz w:val="27"/>
          <w:szCs w:val="27"/>
          <w:lang w:val="x-none" w:eastAsia="es-MX"/>
        </w:rPr>
        <w:t xml:space="preserve"> 94, párrafo primero y 99, párrafo cuarto, fracción V</w:t>
      </w:r>
      <w:r w:rsidRPr="00E53C3B">
        <w:rPr>
          <w:rFonts w:asciiTheme="minorHAnsi" w:hAnsiTheme="minorHAnsi" w:cstheme="minorHAnsi"/>
          <w:bCs/>
          <w:sz w:val="27"/>
          <w:szCs w:val="27"/>
          <w:lang w:eastAsia="es-MX"/>
        </w:rPr>
        <w:t>.</w:t>
      </w:r>
      <w:r w:rsidRPr="00E53C3B">
        <w:rPr>
          <w:rFonts w:asciiTheme="minorHAnsi" w:hAnsiTheme="minorHAnsi" w:cstheme="minorHAnsi"/>
          <w:bCs/>
          <w:sz w:val="27"/>
          <w:szCs w:val="27"/>
          <w:lang w:val="x-none" w:eastAsia="es-MX"/>
        </w:rPr>
        <w:t xml:space="preserve"> </w:t>
      </w:r>
    </w:p>
    <w:p w14:paraId="59178770" w14:textId="77777777" w:rsidR="00DD255F" w:rsidRPr="00E53C3B" w:rsidRDefault="00DD255F" w:rsidP="00E94B7B">
      <w:pPr>
        <w:pStyle w:val="Prrafodelista"/>
        <w:numPr>
          <w:ilvl w:val="0"/>
          <w:numId w:val="17"/>
        </w:numPr>
        <w:tabs>
          <w:tab w:val="left" w:pos="284"/>
        </w:tabs>
        <w:spacing w:line="360" w:lineRule="auto"/>
        <w:ind w:left="714" w:hanging="357"/>
        <w:contextualSpacing w:val="0"/>
        <w:jc w:val="both"/>
        <w:rPr>
          <w:rFonts w:asciiTheme="minorHAnsi" w:hAnsiTheme="minorHAnsi" w:cstheme="minorHAnsi"/>
          <w:bCs/>
          <w:sz w:val="27"/>
          <w:szCs w:val="27"/>
          <w:lang w:eastAsia="es-MX"/>
        </w:rPr>
      </w:pPr>
      <w:r w:rsidRPr="00E53C3B">
        <w:rPr>
          <w:rFonts w:asciiTheme="minorHAnsi" w:hAnsiTheme="minorHAnsi" w:cstheme="minorHAnsi"/>
          <w:b/>
          <w:bCs/>
          <w:sz w:val="27"/>
          <w:szCs w:val="27"/>
          <w:lang w:val="x-none" w:eastAsia="es-MX"/>
        </w:rPr>
        <w:lastRenderedPageBreak/>
        <w:t>Ley Orgánica del Poder Judicial de la Federación</w:t>
      </w:r>
      <w:r w:rsidRPr="00E53C3B">
        <w:rPr>
          <w:rFonts w:asciiTheme="minorHAnsi" w:hAnsiTheme="minorHAnsi" w:cstheme="minorHAnsi"/>
          <w:b/>
          <w:bCs/>
          <w:sz w:val="27"/>
          <w:szCs w:val="27"/>
          <w:lang w:eastAsia="es-MX"/>
        </w:rPr>
        <w:t>:</w:t>
      </w:r>
      <w:r w:rsidRPr="00E53C3B">
        <w:rPr>
          <w:rFonts w:asciiTheme="minorHAnsi" w:hAnsiTheme="minorHAnsi" w:cstheme="minorHAnsi"/>
          <w:bCs/>
          <w:sz w:val="27"/>
          <w:szCs w:val="27"/>
          <w:lang w:eastAsia="es-MX"/>
        </w:rPr>
        <w:t xml:space="preserve"> </w:t>
      </w:r>
      <w:r w:rsidR="00341F22" w:rsidRPr="00E53C3B">
        <w:rPr>
          <w:rFonts w:asciiTheme="minorHAnsi" w:hAnsiTheme="minorHAnsi" w:cstheme="minorHAnsi"/>
          <w:bCs/>
          <w:sz w:val="27"/>
          <w:szCs w:val="27"/>
          <w:lang w:val="x-none" w:eastAsia="es-MX"/>
        </w:rPr>
        <w:t xml:space="preserve">Artículos </w:t>
      </w:r>
      <w:r w:rsidRPr="00E53C3B">
        <w:rPr>
          <w:rFonts w:asciiTheme="minorHAnsi" w:hAnsiTheme="minorHAnsi" w:cstheme="minorHAnsi"/>
          <w:bCs/>
          <w:sz w:val="27"/>
          <w:szCs w:val="27"/>
          <w:lang w:val="x-none" w:eastAsia="es-MX"/>
        </w:rPr>
        <w:t>184</w:t>
      </w:r>
      <w:r w:rsidRPr="00E53C3B">
        <w:rPr>
          <w:rFonts w:asciiTheme="minorHAnsi" w:hAnsiTheme="minorHAnsi" w:cstheme="minorHAnsi"/>
          <w:bCs/>
          <w:sz w:val="27"/>
          <w:szCs w:val="27"/>
          <w:lang w:eastAsia="es-MX"/>
        </w:rPr>
        <w:t>;</w:t>
      </w:r>
      <w:r w:rsidRPr="00E53C3B">
        <w:rPr>
          <w:rFonts w:asciiTheme="minorHAnsi" w:hAnsiTheme="minorHAnsi" w:cstheme="minorHAnsi"/>
          <w:bCs/>
          <w:sz w:val="27"/>
          <w:szCs w:val="27"/>
          <w:lang w:val="x-none" w:eastAsia="es-MX"/>
        </w:rPr>
        <w:t xml:space="preserve"> 185</w:t>
      </w:r>
      <w:r w:rsidRPr="00E53C3B">
        <w:rPr>
          <w:rFonts w:asciiTheme="minorHAnsi" w:hAnsiTheme="minorHAnsi" w:cstheme="minorHAnsi"/>
          <w:bCs/>
          <w:sz w:val="27"/>
          <w:szCs w:val="27"/>
          <w:lang w:eastAsia="es-MX"/>
        </w:rPr>
        <w:t>;</w:t>
      </w:r>
      <w:r w:rsidRPr="00E53C3B">
        <w:rPr>
          <w:rFonts w:asciiTheme="minorHAnsi" w:hAnsiTheme="minorHAnsi" w:cstheme="minorHAnsi"/>
          <w:bCs/>
          <w:sz w:val="27"/>
          <w:szCs w:val="27"/>
          <w:lang w:val="x-none" w:eastAsia="es-MX"/>
        </w:rPr>
        <w:t xml:space="preserve"> 186, fracción III, inciso c) y 195, fracción IV, inciso </w:t>
      </w:r>
      <w:r w:rsidRPr="00E53C3B">
        <w:rPr>
          <w:rFonts w:asciiTheme="minorHAnsi" w:hAnsiTheme="minorHAnsi" w:cstheme="minorHAnsi"/>
          <w:bCs/>
          <w:sz w:val="27"/>
          <w:szCs w:val="27"/>
          <w:lang w:eastAsia="es-MX"/>
        </w:rPr>
        <w:t>a</w:t>
      </w:r>
      <w:r w:rsidRPr="00E53C3B">
        <w:rPr>
          <w:rFonts w:asciiTheme="minorHAnsi" w:hAnsiTheme="minorHAnsi" w:cstheme="minorHAnsi"/>
          <w:bCs/>
          <w:sz w:val="27"/>
          <w:szCs w:val="27"/>
          <w:lang w:val="x-none" w:eastAsia="es-MX"/>
        </w:rPr>
        <w:t>)</w:t>
      </w:r>
      <w:r w:rsidRPr="00E53C3B">
        <w:rPr>
          <w:rFonts w:asciiTheme="minorHAnsi" w:hAnsiTheme="minorHAnsi" w:cstheme="minorHAnsi"/>
          <w:bCs/>
          <w:sz w:val="27"/>
          <w:szCs w:val="27"/>
          <w:lang w:eastAsia="es-MX"/>
        </w:rPr>
        <w:t>.</w:t>
      </w:r>
    </w:p>
    <w:p w14:paraId="76B3B325" w14:textId="77777777" w:rsidR="00DD255F" w:rsidRPr="00E53C3B" w:rsidRDefault="00DD255F" w:rsidP="00E94B7B">
      <w:pPr>
        <w:pStyle w:val="Prrafodelista"/>
        <w:numPr>
          <w:ilvl w:val="0"/>
          <w:numId w:val="17"/>
        </w:numPr>
        <w:tabs>
          <w:tab w:val="left" w:pos="-720"/>
          <w:tab w:val="left" w:pos="284"/>
        </w:tabs>
        <w:suppressAutoHyphens/>
        <w:spacing w:line="360" w:lineRule="auto"/>
        <w:ind w:left="714" w:hanging="357"/>
        <w:contextualSpacing w:val="0"/>
        <w:jc w:val="both"/>
        <w:rPr>
          <w:rFonts w:asciiTheme="minorHAnsi" w:hAnsiTheme="minorHAnsi" w:cstheme="minorHAnsi"/>
          <w:bCs/>
          <w:sz w:val="27"/>
          <w:szCs w:val="27"/>
        </w:rPr>
      </w:pPr>
      <w:r w:rsidRPr="00E53C3B">
        <w:rPr>
          <w:rFonts w:asciiTheme="minorHAnsi" w:hAnsiTheme="minorHAnsi" w:cstheme="minorHAnsi"/>
          <w:b/>
          <w:bCs/>
          <w:sz w:val="27"/>
          <w:szCs w:val="27"/>
          <w:lang w:val="x-none" w:eastAsia="es-MX"/>
        </w:rPr>
        <w:t>Ley General del Sistema de Medios de Impugnación en Materia Electoral</w:t>
      </w:r>
      <w:r w:rsidRPr="00E53C3B">
        <w:rPr>
          <w:rFonts w:asciiTheme="minorHAnsi" w:hAnsiTheme="minorHAnsi" w:cstheme="minorHAnsi"/>
          <w:bCs/>
          <w:sz w:val="27"/>
          <w:szCs w:val="27"/>
          <w:lang w:eastAsia="es-MX"/>
        </w:rPr>
        <w:t xml:space="preserve"> (Ley de Medios): </w:t>
      </w:r>
      <w:r w:rsidR="00341F22" w:rsidRPr="00E53C3B">
        <w:rPr>
          <w:rFonts w:asciiTheme="minorHAnsi" w:hAnsiTheme="minorHAnsi" w:cstheme="minorHAnsi"/>
          <w:bCs/>
          <w:sz w:val="27"/>
          <w:szCs w:val="27"/>
          <w:lang w:eastAsia="es-MX"/>
        </w:rPr>
        <w:t xml:space="preserve">Artículos </w:t>
      </w:r>
      <w:r w:rsidRPr="00E53C3B">
        <w:rPr>
          <w:rFonts w:asciiTheme="minorHAnsi" w:hAnsiTheme="minorHAnsi" w:cstheme="minorHAnsi"/>
          <w:bCs/>
          <w:sz w:val="27"/>
          <w:szCs w:val="27"/>
          <w:lang w:val="x-none" w:eastAsia="es-MX"/>
        </w:rPr>
        <w:t>3, párrafo 2, inciso c)</w:t>
      </w:r>
      <w:r w:rsidRPr="00E53C3B">
        <w:rPr>
          <w:rFonts w:asciiTheme="minorHAnsi" w:hAnsiTheme="minorHAnsi" w:cstheme="minorHAnsi"/>
          <w:bCs/>
          <w:sz w:val="27"/>
          <w:szCs w:val="27"/>
          <w:lang w:eastAsia="es-MX"/>
        </w:rPr>
        <w:t>;</w:t>
      </w:r>
      <w:r w:rsidRPr="00E53C3B">
        <w:rPr>
          <w:rFonts w:asciiTheme="minorHAnsi" w:hAnsiTheme="minorHAnsi" w:cstheme="minorHAnsi"/>
          <w:bCs/>
          <w:sz w:val="27"/>
          <w:szCs w:val="27"/>
          <w:lang w:val="x-none" w:eastAsia="es-MX"/>
        </w:rPr>
        <w:t xml:space="preserve"> 4</w:t>
      </w:r>
      <w:r w:rsidRPr="00E53C3B">
        <w:rPr>
          <w:rFonts w:asciiTheme="minorHAnsi" w:hAnsiTheme="minorHAnsi" w:cstheme="minorHAnsi"/>
          <w:bCs/>
          <w:sz w:val="27"/>
          <w:szCs w:val="27"/>
          <w:lang w:eastAsia="es-MX"/>
        </w:rPr>
        <w:t>;</w:t>
      </w:r>
      <w:r w:rsidRPr="00E53C3B">
        <w:rPr>
          <w:rFonts w:asciiTheme="minorHAnsi" w:hAnsiTheme="minorHAnsi" w:cstheme="minorHAnsi"/>
          <w:bCs/>
          <w:sz w:val="27"/>
          <w:szCs w:val="27"/>
          <w:lang w:val="x-none" w:eastAsia="es-MX"/>
        </w:rPr>
        <w:t xml:space="preserve"> 79, párrafo 1</w:t>
      </w:r>
      <w:r w:rsidRPr="00E53C3B">
        <w:rPr>
          <w:rFonts w:asciiTheme="minorHAnsi" w:hAnsiTheme="minorHAnsi" w:cstheme="minorHAnsi"/>
          <w:bCs/>
          <w:sz w:val="27"/>
          <w:szCs w:val="27"/>
          <w:lang w:eastAsia="es-MX"/>
        </w:rPr>
        <w:t>;</w:t>
      </w:r>
      <w:r w:rsidRPr="00E53C3B">
        <w:rPr>
          <w:rFonts w:asciiTheme="minorHAnsi" w:hAnsiTheme="minorHAnsi" w:cstheme="minorHAnsi"/>
          <w:bCs/>
          <w:sz w:val="27"/>
          <w:szCs w:val="27"/>
          <w:lang w:val="x-none" w:eastAsia="es-MX"/>
        </w:rPr>
        <w:t xml:space="preserve"> 80, párrafo 1, así como 83</w:t>
      </w:r>
      <w:r w:rsidRPr="00E53C3B">
        <w:rPr>
          <w:rFonts w:asciiTheme="minorHAnsi" w:hAnsiTheme="minorHAnsi" w:cstheme="minorHAnsi"/>
          <w:bCs/>
          <w:sz w:val="27"/>
          <w:szCs w:val="27"/>
          <w:lang w:eastAsia="es-MX"/>
        </w:rPr>
        <w:t>.</w:t>
      </w:r>
      <w:r w:rsidRPr="00E53C3B">
        <w:rPr>
          <w:rFonts w:asciiTheme="minorHAnsi" w:hAnsiTheme="minorHAnsi" w:cstheme="minorHAnsi"/>
          <w:bCs/>
          <w:sz w:val="27"/>
          <w:szCs w:val="27"/>
          <w:lang w:val="x-none" w:eastAsia="es-MX"/>
        </w:rPr>
        <w:t xml:space="preserve"> </w:t>
      </w:r>
    </w:p>
    <w:p w14:paraId="66EC7C03" w14:textId="77777777" w:rsidR="000A3637" w:rsidRPr="00E53C3B" w:rsidRDefault="000A3637" w:rsidP="00E94B7B">
      <w:pPr>
        <w:pStyle w:val="Prrafodelista"/>
        <w:numPr>
          <w:ilvl w:val="0"/>
          <w:numId w:val="17"/>
        </w:numPr>
        <w:spacing w:line="360" w:lineRule="auto"/>
        <w:ind w:left="714" w:hanging="357"/>
        <w:contextualSpacing w:val="0"/>
        <w:jc w:val="both"/>
        <w:rPr>
          <w:rFonts w:asciiTheme="minorHAnsi" w:hAnsiTheme="minorHAnsi" w:cstheme="minorHAnsi"/>
          <w:bCs/>
          <w:sz w:val="27"/>
          <w:szCs w:val="27"/>
          <w:lang w:eastAsia="es-MX"/>
        </w:rPr>
      </w:pPr>
      <w:r w:rsidRPr="00E53C3B">
        <w:rPr>
          <w:rFonts w:asciiTheme="minorHAnsi" w:hAnsiTheme="minorHAnsi" w:cstheme="minorHAnsi"/>
          <w:b/>
          <w:bCs/>
          <w:sz w:val="27"/>
          <w:szCs w:val="27"/>
          <w:lang w:eastAsia="es-MX"/>
        </w:rPr>
        <w:t>Acuerdo de la Sala Superior 3/2020</w:t>
      </w:r>
      <w:r w:rsidRPr="00E53C3B">
        <w:rPr>
          <w:rFonts w:asciiTheme="minorHAnsi" w:hAnsiTheme="minorHAnsi" w:cstheme="minorHAnsi"/>
          <w:bCs/>
          <w:sz w:val="27"/>
          <w:szCs w:val="27"/>
          <w:lang w:eastAsia="es-MX"/>
        </w:rPr>
        <w:t>, por el que se implementa la firma electrónica certificada del poder judicial de la federación en los acuerdos, resoluciones y sentencias que se dicten con motivo del trámite, turno, sustanciación y resolución de los medios de impugnación en materia electoral.</w:t>
      </w:r>
      <w:r w:rsidRPr="00E53C3B">
        <w:rPr>
          <w:rFonts w:asciiTheme="minorHAnsi" w:hAnsiTheme="minorHAnsi" w:cstheme="minorHAnsi"/>
          <w:sz w:val="27"/>
          <w:szCs w:val="27"/>
          <w:vertAlign w:val="superscript"/>
        </w:rPr>
        <w:footnoteReference w:id="1"/>
      </w:r>
    </w:p>
    <w:p w14:paraId="195E7CBF" w14:textId="77777777" w:rsidR="00964789" w:rsidRPr="00E53C3B" w:rsidRDefault="00964789" w:rsidP="00E94B7B">
      <w:pPr>
        <w:pStyle w:val="Prrafodelista"/>
        <w:numPr>
          <w:ilvl w:val="0"/>
          <w:numId w:val="17"/>
        </w:numPr>
        <w:spacing w:line="360" w:lineRule="auto"/>
        <w:ind w:left="714" w:hanging="357"/>
        <w:contextualSpacing w:val="0"/>
        <w:jc w:val="both"/>
        <w:rPr>
          <w:rFonts w:asciiTheme="minorHAnsi" w:hAnsiTheme="minorHAnsi" w:cstheme="minorHAnsi"/>
          <w:bCs/>
          <w:sz w:val="27"/>
          <w:szCs w:val="27"/>
          <w:lang w:eastAsia="es-MX"/>
        </w:rPr>
      </w:pPr>
      <w:r w:rsidRPr="00E53C3B">
        <w:rPr>
          <w:rFonts w:asciiTheme="minorHAnsi" w:hAnsiTheme="minorHAnsi" w:cstheme="minorHAnsi"/>
          <w:b/>
          <w:bCs/>
          <w:sz w:val="27"/>
          <w:szCs w:val="27"/>
          <w:lang w:eastAsia="es-MX"/>
        </w:rPr>
        <w:t>Acuerdo INE/CG329/2017</w:t>
      </w:r>
      <w:r w:rsidRPr="00E53C3B">
        <w:rPr>
          <w:rFonts w:asciiTheme="minorHAnsi" w:hAnsiTheme="minorHAnsi" w:cstheme="minorHAnsi"/>
          <w:bCs/>
          <w:sz w:val="27"/>
          <w:szCs w:val="27"/>
          <w:lang w:eastAsia="es-MX"/>
        </w:rPr>
        <w:t xml:space="preserve"> emitido por el Consejo General del Instituto Nacional Electoral.</w:t>
      </w:r>
      <w:r w:rsidRPr="00E53C3B">
        <w:rPr>
          <w:rFonts w:asciiTheme="minorHAnsi" w:hAnsiTheme="minorHAnsi" w:cstheme="minorHAnsi"/>
          <w:sz w:val="27"/>
          <w:szCs w:val="27"/>
          <w:vertAlign w:val="superscript"/>
        </w:rPr>
        <w:footnoteReference w:id="2"/>
      </w:r>
    </w:p>
    <w:p w14:paraId="58E47650" w14:textId="77777777" w:rsidR="0069768C" w:rsidRPr="00E53C3B" w:rsidRDefault="0069768C" w:rsidP="00E94B7B">
      <w:pPr>
        <w:spacing w:after="0" w:line="360" w:lineRule="auto"/>
        <w:jc w:val="both"/>
        <w:rPr>
          <w:rFonts w:cstheme="minorHAnsi"/>
          <w:b/>
          <w:sz w:val="27"/>
          <w:szCs w:val="27"/>
          <w:lang w:eastAsia="es-MX"/>
        </w:rPr>
      </w:pPr>
    </w:p>
    <w:p w14:paraId="4F9BCD7A" w14:textId="77777777" w:rsidR="001E63CC" w:rsidRPr="00E53C3B" w:rsidRDefault="00B273FF" w:rsidP="00E94B7B">
      <w:pPr>
        <w:spacing w:after="0" w:line="360" w:lineRule="auto"/>
        <w:jc w:val="both"/>
        <w:rPr>
          <w:rFonts w:cstheme="minorHAnsi"/>
          <w:bCs/>
          <w:color w:val="000000"/>
          <w:sz w:val="27"/>
          <w:szCs w:val="27"/>
          <w:lang w:eastAsia="es-MX"/>
        </w:rPr>
      </w:pPr>
      <w:r w:rsidRPr="00E53C3B">
        <w:rPr>
          <w:rFonts w:cstheme="minorHAnsi"/>
          <w:b/>
          <w:sz w:val="27"/>
          <w:szCs w:val="27"/>
          <w:lang w:eastAsia="es-MX"/>
        </w:rPr>
        <w:t>SEGUND</w:t>
      </w:r>
      <w:r w:rsidR="00E90CD1">
        <w:rPr>
          <w:rFonts w:cstheme="minorHAnsi"/>
          <w:b/>
          <w:sz w:val="27"/>
          <w:szCs w:val="27"/>
          <w:lang w:eastAsia="es-MX"/>
        </w:rPr>
        <w:t>O</w:t>
      </w:r>
      <w:r w:rsidRPr="00E53C3B">
        <w:rPr>
          <w:rFonts w:cstheme="minorHAnsi"/>
          <w:b/>
          <w:sz w:val="27"/>
          <w:szCs w:val="27"/>
          <w:lang w:eastAsia="es-MX"/>
        </w:rPr>
        <w:t xml:space="preserve">. </w:t>
      </w:r>
      <w:r w:rsidR="00F31F60" w:rsidRPr="00E53C3B">
        <w:rPr>
          <w:rFonts w:eastAsia="Calibri" w:cstheme="minorHAnsi"/>
          <w:b/>
          <w:sz w:val="27"/>
          <w:szCs w:val="27"/>
        </w:rPr>
        <w:t>Procedencia</w:t>
      </w:r>
      <w:r w:rsidR="001E63CC" w:rsidRPr="00E53C3B">
        <w:rPr>
          <w:rFonts w:eastAsia="Calibri" w:cstheme="minorHAnsi"/>
          <w:b/>
          <w:sz w:val="27"/>
          <w:szCs w:val="27"/>
        </w:rPr>
        <w:t>.</w:t>
      </w:r>
      <w:r w:rsidR="001E63CC" w:rsidRPr="00E53C3B">
        <w:rPr>
          <w:rFonts w:eastAsia="Calibri" w:cstheme="minorHAnsi"/>
          <w:sz w:val="27"/>
          <w:szCs w:val="27"/>
        </w:rPr>
        <w:t xml:space="preserve"> En el juicio en estudio, se cumple los requisitos de procedencia previstos en los artículos 7; 8; 9, párrafo 1; 79, párrafo 1 y 80 de la Ley de Medios.</w:t>
      </w:r>
    </w:p>
    <w:p w14:paraId="2726A92C" w14:textId="77777777" w:rsidR="00243104" w:rsidRPr="00E53C3B" w:rsidRDefault="00243104" w:rsidP="00E94B7B">
      <w:pPr>
        <w:spacing w:after="0" w:line="360" w:lineRule="auto"/>
        <w:jc w:val="both"/>
        <w:rPr>
          <w:rFonts w:eastAsia="Calibri" w:cstheme="minorHAnsi"/>
          <w:b/>
          <w:sz w:val="27"/>
          <w:szCs w:val="27"/>
          <w:lang w:eastAsia="es-MX"/>
        </w:rPr>
      </w:pPr>
    </w:p>
    <w:p w14:paraId="1134CD63" w14:textId="77777777" w:rsidR="001E63CC" w:rsidRPr="00E53C3B" w:rsidRDefault="001E63CC" w:rsidP="00E94B7B">
      <w:pPr>
        <w:spacing w:after="0" w:line="360" w:lineRule="auto"/>
        <w:jc w:val="both"/>
        <w:rPr>
          <w:rFonts w:eastAsia="Calibri" w:cstheme="minorHAnsi"/>
          <w:sz w:val="27"/>
          <w:szCs w:val="27"/>
          <w:lang w:eastAsia="es-MX"/>
        </w:rPr>
      </w:pPr>
      <w:r w:rsidRPr="00E53C3B">
        <w:rPr>
          <w:rFonts w:eastAsia="Calibri" w:cstheme="minorHAnsi"/>
          <w:b/>
          <w:sz w:val="27"/>
          <w:szCs w:val="27"/>
          <w:lang w:eastAsia="es-MX"/>
        </w:rPr>
        <w:t>a)</w:t>
      </w:r>
      <w:r w:rsidRPr="00E53C3B">
        <w:rPr>
          <w:rFonts w:eastAsia="Calibri" w:cstheme="minorHAnsi"/>
          <w:sz w:val="27"/>
          <w:szCs w:val="27"/>
          <w:lang w:eastAsia="es-MX"/>
        </w:rPr>
        <w:t xml:space="preserve"> </w:t>
      </w:r>
      <w:r w:rsidRPr="00E53C3B">
        <w:rPr>
          <w:rFonts w:eastAsia="Calibri" w:cstheme="minorHAnsi"/>
          <w:b/>
          <w:sz w:val="27"/>
          <w:szCs w:val="27"/>
          <w:lang w:eastAsia="es-MX"/>
        </w:rPr>
        <w:t xml:space="preserve">Forma. </w:t>
      </w:r>
      <w:r w:rsidRPr="00E53C3B">
        <w:rPr>
          <w:rFonts w:eastAsia="Calibri" w:cstheme="minorHAnsi"/>
          <w:sz w:val="27"/>
          <w:szCs w:val="27"/>
          <w:lang w:eastAsia="es-MX"/>
        </w:rPr>
        <w:t>La demanda se presentó por escrito, en ella consta nombre y firma autógrafa de</w:t>
      </w:r>
      <w:r w:rsidR="00B351C9">
        <w:rPr>
          <w:rFonts w:eastAsia="Calibri" w:cstheme="minorHAnsi"/>
          <w:sz w:val="27"/>
          <w:szCs w:val="27"/>
          <w:lang w:eastAsia="es-MX"/>
        </w:rPr>
        <w:t>l</w:t>
      </w:r>
      <w:r w:rsidR="00F31F60" w:rsidRPr="00E53C3B">
        <w:rPr>
          <w:rFonts w:eastAsia="Calibri" w:cstheme="minorHAnsi"/>
          <w:sz w:val="27"/>
          <w:szCs w:val="27"/>
          <w:lang w:eastAsia="es-MX"/>
        </w:rPr>
        <w:t xml:space="preserve"> </w:t>
      </w:r>
      <w:r w:rsidRPr="00E53C3B">
        <w:rPr>
          <w:rFonts w:eastAsia="Calibri" w:cstheme="minorHAnsi"/>
          <w:sz w:val="27"/>
          <w:szCs w:val="27"/>
          <w:lang w:eastAsia="es-MX"/>
        </w:rPr>
        <w:t>actor, domicilio para oír y recibir notificaciones, se identifica el acto impugnado y la autoridad responsable de la misma, expone los hechos y agravios que considera le causan perjuicio.</w:t>
      </w:r>
    </w:p>
    <w:p w14:paraId="31B7FE9F" w14:textId="77777777" w:rsidR="00243104" w:rsidRPr="00E53C3B" w:rsidRDefault="00243104" w:rsidP="00E94B7B">
      <w:pPr>
        <w:spacing w:after="0" w:line="360" w:lineRule="auto"/>
        <w:jc w:val="both"/>
        <w:rPr>
          <w:rFonts w:eastAsia="Calibri" w:cstheme="minorHAnsi"/>
          <w:b/>
          <w:sz w:val="27"/>
          <w:szCs w:val="27"/>
          <w:lang w:eastAsia="es-MX"/>
        </w:rPr>
      </w:pPr>
    </w:p>
    <w:p w14:paraId="7AAFE151" w14:textId="39499E65" w:rsidR="001E63CC" w:rsidRPr="00E53C3B" w:rsidRDefault="001E63CC" w:rsidP="00E94B7B">
      <w:pPr>
        <w:spacing w:after="0" w:line="360" w:lineRule="auto"/>
        <w:jc w:val="both"/>
        <w:rPr>
          <w:rFonts w:eastAsia="Calibri" w:cstheme="minorHAnsi"/>
          <w:sz w:val="27"/>
          <w:szCs w:val="27"/>
          <w:lang w:eastAsia="es-MX"/>
        </w:rPr>
      </w:pPr>
      <w:r w:rsidRPr="00E53C3B">
        <w:rPr>
          <w:rFonts w:eastAsia="Calibri" w:cstheme="minorHAnsi"/>
          <w:b/>
          <w:sz w:val="27"/>
          <w:szCs w:val="27"/>
          <w:lang w:eastAsia="es-MX"/>
        </w:rPr>
        <w:t xml:space="preserve">b) Oportunidad. </w:t>
      </w:r>
      <w:r w:rsidRPr="00E53C3B">
        <w:rPr>
          <w:rFonts w:eastAsia="Calibri" w:cstheme="minorHAnsi"/>
          <w:sz w:val="27"/>
          <w:szCs w:val="27"/>
          <w:lang w:eastAsia="es-MX"/>
        </w:rPr>
        <w:t>Se considera que la demanda es oportuna</w:t>
      </w:r>
      <w:r w:rsidR="009E12B9" w:rsidRPr="00E53C3B">
        <w:rPr>
          <w:rFonts w:eastAsia="Calibri" w:cstheme="minorHAnsi"/>
          <w:sz w:val="27"/>
          <w:szCs w:val="27"/>
          <w:lang w:eastAsia="es-MX"/>
        </w:rPr>
        <w:t xml:space="preserve"> </w:t>
      </w:r>
      <w:r w:rsidR="006E74CC" w:rsidRPr="00E53C3B">
        <w:rPr>
          <w:rFonts w:eastAsia="Calibri" w:cstheme="minorHAnsi"/>
          <w:sz w:val="27"/>
          <w:szCs w:val="27"/>
          <w:lang w:eastAsia="es-MX"/>
        </w:rPr>
        <w:t xml:space="preserve">debido a que </w:t>
      </w:r>
      <w:r w:rsidR="00FA3945" w:rsidRPr="00E53C3B">
        <w:rPr>
          <w:rFonts w:eastAsia="Calibri" w:cstheme="minorHAnsi"/>
          <w:sz w:val="27"/>
          <w:szCs w:val="27"/>
          <w:lang w:eastAsia="es-MX"/>
        </w:rPr>
        <w:t>la sentencia impugnada fue</w:t>
      </w:r>
      <w:r w:rsidR="0029707D">
        <w:rPr>
          <w:rFonts w:eastAsia="Calibri" w:cstheme="minorHAnsi"/>
          <w:sz w:val="27"/>
          <w:szCs w:val="27"/>
          <w:lang w:eastAsia="es-MX"/>
        </w:rPr>
        <w:t xml:space="preserve"> emitida el ocho de septiembre del presente año, mientras que la demanda se presentó el once siguiente, </w:t>
      </w:r>
      <w:r w:rsidR="002A3F33" w:rsidRPr="00E53C3B">
        <w:rPr>
          <w:rFonts w:eastAsia="Calibri" w:cstheme="minorHAnsi"/>
          <w:sz w:val="27"/>
          <w:szCs w:val="27"/>
          <w:lang w:eastAsia="es-MX"/>
        </w:rPr>
        <w:t xml:space="preserve">por lo que, </w:t>
      </w:r>
      <w:r w:rsidR="00295544" w:rsidRPr="00E53C3B">
        <w:rPr>
          <w:rFonts w:eastAsia="Calibri" w:cstheme="minorHAnsi"/>
          <w:sz w:val="27"/>
          <w:szCs w:val="27"/>
          <w:lang w:eastAsia="es-MX"/>
        </w:rPr>
        <w:t xml:space="preserve">es evidente que </w:t>
      </w:r>
      <w:r w:rsidR="00A47346" w:rsidRPr="00E53C3B">
        <w:rPr>
          <w:rFonts w:eastAsia="Calibri" w:cstheme="minorHAnsi"/>
          <w:sz w:val="27"/>
          <w:szCs w:val="27"/>
          <w:lang w:eastAsia="es-MX"/>
        </w:rPr>
        <w:t>se interpuso dentro de los 4 días que la ley</w:t>
      </w:r>
      <w:r w:rsidR="0029707D">
        <w:rPr>
          <w:rFonts w:eastAsia="Calibri" w:cstheme="minorHAnsi"/>
          <w:sz w:val="27"/>
          <w:szCs w:val="27"/>
          <w:lang w:eastAsia="es-MX"/>
        </w:rPr>
        <w:t xml:space="preserve"> de la materia</w:t>
      </w:r>
      <w:r w:rsidR="00A47346" w:rsidRPr="00E53C3B">
        <w:rPr>
          <w:rFonts w:eastAsia="Calibri" w:cstheme="minorHAnsi"/>
          <w:sz w:val="27"/>
          <w:szCs w:val="27"/>
          <w:lang w:eastAsia="es-MX"/>
        </w:rPr>
        <w:t xml:space="preserve"> indica.</w:t>
      </w:r>
    </w:p>
    <w:p w14:paraId="4863CC2C" w14:textId="77777777" w:rsidR="00B351C9" w:rsidRDefault="00B351C9" w:rsidP="00E94B7B">
      <w:pPr>
        <w:spacing w:after="0" w:line="360" w:lineRule="auto"/>
        <w:jc w:val="both"/>
        <w:rPr>
          <w:rFonts w:eastAsia="Calibri" w:cstheme="minorHAnsi"/>
          <w:b/>
          <w:sz w:val="27"/>
          <w:szCs w:val="27"/>
          <w:lang w:eastAsia="es-MX"/>
        </w:rPr>
      </w:pPr>
    </w:p>
    <w:p w14:paraId="12FD135D" w14:textId="77777777" w:rsidR="00F4677E" w:rsidRDefault="001E63CC" w:rsidP="00E94B7B">
      <w:pPr>
        <w:spacing w:after="0" w:line="360" w:lineRule="auto"/>
        <w:jc w:val="both"/>
        <w:rPr>
          <w:rFonts w:cs="Calibri"/>
          <w:bCs/>
          <w:sz w:val="27"/>
          <w:szCs w:val="27"/>
          <w:lang w:eastAsia="es-MX"/>
        </w:rPr>
      </w:pPr>
      <w:r w:rsidRPr="00E53C3B">
        <w:rPr>
          <w:rFonts w:eastAsia="Calibri" w:cstheme="minorHAnsi"/>
          <w:b/>
          <w:sz w:val="27"/>
          <w:szCs w:val="27"/>
          <w:lang w:eastAsia="es-MX"/>
        </w:rPr>
        <w:t xml:space="preserve">c) Legitimación e interés jurídico. </w:t>
      </w:r>
      <w:r w:rsidRPr="00E53C3B">
        <w:rPr>
          <w:rFonts w:eastAsia="Calibri" w:cstheme="minorHAnsi"/>
          <w:sz w:val="27"/>
          <w:szCs w:val="27"/>
          <w:lang w:eastAsia="es-MX"/>
        </w:rPr>
        <w:t xml:space="preserve">La </w:t>
      </w:r>
      <w:r w:rsidR="00655238" w:rsidRPr="00E53C3B">
        <w:rPr>
          <w:rFonts w:eastAsia="Calibri" w:cstheme="minorHAnsi"/>
          <w:sz w:val="27"/>
          <w:szCs w:val="27"/>
          <w:lang w:eastAsia="es-MX"/>
        </w:rPr>
        <w:t xml:space="preserve">parte </w:t>
      </w:r>
      <w:r w:rsidRPr="00E53C3B">
        <w:rPr>
          <w:rFonts w:eastAsia="Calibri" w:cstheme="minorHAnsi"/>
          <w:sz w:val="27"/>
          <w:szCs w:val="27"/>
          <w:lang w:eastAsia="es-MX"/>
        </w:rPr>
        <w:t xml:space="preserve">actora cuenta con legitimación para promover el presente juicio, ya que es </w:t>
      </w:r>
      <w:r w:rsidR="00693A28" w:rsidRPr="00E53C3B">
        <w:rPr>
          <w:rFonts w:eastAsia="Calibri" w:cstheme="minorHAnsi"/>
          <w:sz w:val="27"/>
          <w:szCs w:val="27"/>
          <w:lang w:eastAsia="es-MX"/>
        </w:rPr>
        <w:t xml:space="preserve">un </w:t>
      </w:r>
      <w:r w:rsidRPr="00E53C3B">
        <w:rPr>
          <w:rFonts w:eastAsia="Calibri" w:cstheme="minorHAnsi"/>
          <w:sz w:val="27"/>
          <w:szCs w:val="27"/>
          <w:lang w:eastAsia="es-MX"/>
        </w:rPr>
        <w:t>ciudadan</w:t>
      </w:r>
      <w:r w:rsidR="00693A28" w:rsidRPr="00E53C3B">
        <w:rPr>
          <w:rFonts w:eastAsia="Calibri" w:cstheme="minorHAnsi"/>
          <w:sz w:val="27"/>
          <w:szCs w:val="27"/>
          <w:lang w:eastAsia="es-MX"/>
        </w:rPr>
        <w:t>o</w:t>
      </w:r>
      <w:r w:rsidRPr="00E53C3B">
        <w:rPr>
          <w:rFonts w:eastAsia="Calibri" w:cstheme="minorHAnsi"/>
          <w:sz w:val="27"/>
          <w:szCs w:val="27"/>
          <w:lang w:eastAsia="es-MX"/>
        </w:rPr>
        <w:t xml:space="preserve"> </w:t>
      </w:r>
      <w:r w:rsidRPr="00E53C3B">
        <w:rPr>
          <w:rFonts w:eastAsia="Calibri" w:cstheme="minorHAnsi"/>
          <w:sz w:val="27"/>
          <w:szCs w:val="27"/>
          <w:lang w:eastAsia="es-MX"/>
        </w:rPr>
        <w:lastRenderedPageBreak/>
        <w:t>que comparece por derecho propio, y</w:t>
      </w:r>
      <w:r w:rsidR="00F4677E">
        <w:rPr>
          <w:rFonts w:eastAsia="Calibri" w:cstheme="minorHAnsi"/>
          <w:sz w:val="27"/>
          <w:szCs w:val="27"/>
          <w:lang w:eastAsia="es-MX"/>
        </w:rPr>
        <w:t xml:space="preserve"> como representante común del plebiscito </w:t>
      </w:r>
      <w:r w:rsidR="00F4677E" w:rsidRPr="0021466E">
        <w:rPr>
          <w:rFonts w:cs="Calibri"/>
          <w:bCs/>
          <w:sz w:val="27"/>
          <w:szCs w:val="27"/>
          <w:lang w:eastAsia="es-MX"/>
        </w:rPr>
        <w:t>IEPC</w:t>
      </w:r>
      <w:r w:rsidR="00F4677E">
        <w:rPr>
          <w:rFonts w:cs="Calibri"/>
          <w:bCs/>
          <w:sz w:val="27"/>
          <w:szCs w:val="27"/>
          <w:lang w:eastAsia="es-MX"/>
        </w:rPr>
        <w:t>-</w:t>
      </w:r>
      <w:r w:rsidR="00F4677E" w:rsidRPr="0021466E">
        <w:rPr>
          <w:rFonts w:cs="Calibri"/>
          <w:bCs/>
          <w:sz w:val="27"/>
          <w:szCs w:val="27"/>
          <w:lang w:eastAsia="es-MX"/>
        </w:rPr>
        <w:t>MPC-PM01/2019</w:t>
      </w:r>
      <w:r w:rsidR="00F4677E">
        <w:rPr>
          <w:rFonts w:cs="Calibri"/>
          <w:bCs/>
          <w:sz w:val="27"/>
          <w:szCs w:val="27"/>
          <w:lang w:eastAsia="es-MX"/>
        </w:rPr>
        <w:t xml:space="preserve">, carácter que le reconoce la autoridad responsable en su informe circunstanciado. </w:t>
      </w:r>
    </w:p>
    <w:p w14:paraId="5443C2ED" w14:textId="77777777" w:rsidR="00F4677E" w:rsidRDefault="00F4677E" w:rsidP="00E94B7B">
      <w:pPr>
        <w:spacing w:after="0" w:line="360" w:lineRule="auto"/>
        <w:jc w:val="both"/>
        <w:rPr>
          <w:rFonts w:cs="Calibri"/>
          <w:bCs/>
          <w:sz w:val="27"/>
          <w:szCs w:val="27"/>
          <w:lang w:eastAsia="es-MX"/>
        </w:rPr>
      </w:pPr>
    </w:p>
    <w:p w14:paraId="379C959E" w14:textId="67C2BA74" w:rsidR="001E63CC" w:rsidRDefault="00F4677E" w:rsidP="00E94B7B">
      <w:pPr>
        <w:spacing w:after="0" w:line="360" w:lineRule="auto"/>
        <w:jc w:val="both"/>
        <w:rPr>
          <w:rFonts w:eastAsia="Calibri" w:cstheme="minorHAnsi"/>
          <w:sz w:val="27"/>
          <w:szCs w:val="27"/>
          <w:lang w:eastAsia="es-MX"/>
        </w:rPr>
      </w:pPr>
      <w:r>
        <w:rPr>
          <w:rFonts w:cs="Calibri"/>
          <w:bCs/>
          <w:sz w:val="27"/>
          <w:szCs w:val="27"/>
          <w:lang w:eastAsia="es-MX"/>
        </w:rPr>
        <w:t xml:space="preserve">El interés jurídico se surte, pues es evidente que la resolución que impugna es adversa a sus intereses, al haber declarado la improcedencia del plebiscito que el actor solicitó.  </w:t>
      </w:r>
      <w:r>
        <w:rPr>
          <w:rFonts w:eastAsia="Calibri" w:cstheme="minorHAnsi"/>
          <w:sz w:val="27"/>
          <w:szCs w:val="27"/>
          <w:lang w:eastAsia="es-MX"/>
        </w:rPr>
        <w:t xml:space="preserve"> </w:t>
      </w:r>
    </w:p>
    <w:p w14:paraId="0D249BE1" w14:textId="77777777" w:rsidR="00B351C9" w:rsidRPr="00E53C3B" w:rsidRDefault="00B351C9" w:rsidP="00E94B7B">
      <w:pPr>
        <w:spacing w:after="0" w:line="360" w:lineRule="auto"/>
        <w:jc w:val="both"/>
        <w:rPr>
          <w:rFonts w:eastAsia="Calibri" w:cstheme="minorHAnsi"/>
          <w:sz w:val="27"/>
          <w:szCs w:val="27"/>
          <w:lang w:eastAsia="es-MX"/>
        </w:rPr>
      </w:pPr>
    </w:p>
    <w:p w14:paraId="3EF78DA3" w14:textId="08A61E7A" w:rsidR="00F4677E" w:rsidRDefault="001E63CC" w:rsidP="00E94B7B">
      <w:pPr>
        <w:spacing w:after="0" w:line="360" w:lineRule="auto"/>
        <w:jc w:val="both"/>
        <w:rPr>
          <w:rFonts w:cstheme="minorHAnsi"/>
          <w:bCs/>
          <w:sz w:val="27"/>
          <w:szCs w:val="27"/>
          <w:lang w:eastAsia="es-MX"/>
        </w:rPr>
      </w:pPr>
      <w:r w:rsidRPr="00453FC9">
        <w:rPr>
          <w:rFonts w:cstheme="minorHAnsi"/>
          <w:b/>
          <w:sz w:val="27"/>
          <w:szCs w:val="27"/>
          <w:lang w:eastAsia="es-MX"/>
        </w:rPr>
        <w:t xml:space="preserve">d) </w:t>
      </w:r>
      <w:r w:rsidR="00F4677E">
        <w:rPr>
          <w:rFonts w:cstheme="minorHAnsi"/>
          <w:b/>
          <w:sz w:val="27"/>
          <w:szCs w:val="27"/>
          <w:lang w:eastAsia="es-MX"/>
        </w:rPr>
        <w:t xml:space="preserve">Tercero Interesado. </w:t>
      </w:r>
      <w:r w:rsidR="00F4677E">
        <w:rPr>
          <w:rFonts w:cstheme="minorHAnsi"/>
          <w:bCs/>
          <w:sz w:val="27"/>
          <w:szCs w:val="27"/>
          <w:lang w:eastAsia="es-MX"/>
        </w:rPr>
        <w:t>Se tiene compareciendo a Juan Carlos Guerrero Fausto, en representación de la Universidad de Guadalajara</w:t>
      </w:r>
      <w:r w:rsidR="00F03BB4">
        <w:rPr>
          <w:rFonts w:cstheme="minorHAnsi"/>
          <w:bCs/>
          <w:sz w:val="27"/>
          <w:szCs w:val="27"/>
          <w:lang w:eastAsia="es-MX"/>
        </w:rPr>
        <w:t xml:space="preserve"> como tercero interesado en el presente juicio. </w:t>
      </w:r>
    </w:p>
    <w:p w14:paraId="67EBF546" w14:textId="622D7F28" w:rsidR="00F03BB4" w:rsidRDefault="00F03BB4" w:rsidP="00E94B7B">
      <w:pPr>
        <w:spacing w:after="0" w:line="360" w:lineRule="auto"/>
        <w:jc w:val="both"/>
        <w:rPr>
          <w:rFonts w:cstheme="minorHAnsi"/>
          <w:bCs/>
          <w:sz w:val="27"/>
          <w:szCs w:val="27"/>
          <w:lang w:eastAsia="es-MX"/>
        </w:rPr>
      </w:pPr>
    </w:p>
    <w:p w14:paraId="0673FD9F" w14:textId="04268647" w:rsidR="00F03BB4" w:rsidRPr="00F4677E" w:rsidRDefault="00F03BB4" w:rsidP="00E94B7B">
      <w:pPr>
        <w:spacing w:after="0" w:line="360" w:lineRule="auto"/>
        <w:jc w:val="both"/>
        <w:rPr>
          <w:rFonts w:cstheme="minorHAnsi"/>
          <w:bCs/>
          <w:sz w:val="27"/>
          <w:szCs w:val="27"/>
          <w:lang w:eastAsia="es-MX"/>
        </w:rPr>
      </w:pPr>
      <w:r>
        <w:rPr>
          <w:rFonts w:cstheme="minorHAnsi"/>
          <w:bCs/>
          <w:sz w:val="27"/>
          <w:szCs w:val="27"/>
          <w:lang w:eastAsia="es-MX"/>
        </w:rPr>
        <w:t xml:space="preserve">El carácter con el que comparece se tiene por acreditado, ya que fue quien instó uno de los recursos de apelación local, de donde deriva la resolución aquí impugnada, por </w:t>
      </w:r>
      <w:proofErr w:type="gramStart"/>
      <w:r>
        <w:rPr>
          <w:rFonts w:cstheme="minorHAnsi"/>
          <w:bCs/>
          <w:sz w:val="27"/>
          <w:szCs w:val="27"/>
          <w:lang w:eastAsia="es-MX"/>
        </w:rPr>
        <w:t>tanto</w:t>
      </w:r>
      <w:proofErr w:type="gramEnd"/>
      <w:r>
        <w:rPr>
          <w:rFonts w:cstheme="minorHAnsi"/>
          <w:bCs/>
          <w:sz w:val="27"/>
          <w:szCs w:val="27"/>
          <w:lang w:eastAsia="es-MX"/>
        </w:rPr>
        <w:t xml:space="preserve"> su carácter de apoderado de la Universidad de Guadalajara quedó acreditado ante la autoridad responsable.    </w:t>
      </w:r>
    </w:p>
    <w:p w14:paraId="67B6FDF4" w14:textId="54FA063E" w:rsidR="00F4677E" w:rsidRDefault="00F4677E" w:rsidP="00E94B7B">
      <w:pPr>
        <w:spacing w:after="0" w:line="360" w:lineRule="auto"/>
        <w:jc w:val="both"/>
        <w:rPr>
          <w:rFonts w:cstheme="minorHAnsi"/>
          <w:b/>
          <w:sz w:val="27"/>
          <w:szCs w:val="27"/>
          <w:lang w:eastAsia="es-MX"/>
        </w:rPr>
      </w:pPr>
    </w:p>
    <w:p w14:paraId="16CE580F" w14:textId="3F4ABF31" w:rsidR="00F03BB4" w:rsidRPr="00F03BB4" w:rsidRDefault="00F03BB4" w:rsidP="00E94B7B">
      <w:pPr>
        <w:spacing w:after="0" w:line="360" w:lineRule="auto"/>
        <w:jc w:val="both"/>
        <w:rPr>
          <w:rFonts w:cstheme="minorHAnsi"/>
          <w:bCs/>
          <w:sz w:val="27"/>
          <w:szCs w:val="27"/>
          <w:lang w:eastAsia="es-MX"/>
        </w:rPr>
      </w:pPr>
      <w:r w:rsidRPr="00F03BB4">
        <w:rPr>
          <w:rFonts w:cstheme="minorHAnsi"/>
          <w:bCs/>
          <w:sz w:val="27"/>
          <w:szCs w:val="27"/>
          <w:lang w:eastAsia="es-MX"/>
        </w:rPr>
        <w:t>Además,</w:t>
      </w:r>
      <w:r>
        <w:rPr>
          <w:rFonts w:cstheme="minorHAnsi"/>
          <w:bCs/>
          <w:sz w:val="27"/>
          <w:szCs w:val="27"/>
          <w:lang w:eastAsia="es-MX"/>
        </w:rPr>
        <w:t xml:space="preserve"> se reconoce el carácter de tercero interesado a la casa de estudios, ya que sostiene un derecho incompatible con la pretensión del actor, en el sentido de que se sostenga la resolución impugnada, en términos de los dispuesto por el artículo 12, inciso c), de la Ley General del Sistema de Medios de Impugnación en Materia Electoral. </w:t>
      </w:r>
      <w:r w:rsidRPr="00F03BB4">
        <w:rPr>
          <w:rFonts w:cstheme="minorHAnsi"/>
          <w:bCs/>
          <w:sz w:val="27"/>
          <w:szCs w:val="27"/>
          <w:lang w:eastAsia="es-MX"/>
        </w:rPr>
        <w:t xml:space="preserve"> </w:t>
      </w:r>
    </w:p>
    <w:p w14:paraId="11EC5096" w14:textId="77777777" w:rsidR="00F03BB4" w:rsidRDefault="00F03BB4" w:rsidP="00E94B7B">
      <w:pPr>
        <w:spacing w:after="0" w:line="360" w:lineRule="auto"/>
        <w:jc w:val="both"/>
        <w:rPr>
          <w:rFonts w:cstheme="minorHAnsi"/>
          <w:b/>
          <w:sz w:val="27"/>
          <w:szCs w:val="27"/>
          <w:lang w:eastAsia="es-MX"/>
        </w:rPr>
      </w:pPr>
    </w:p>
    <w:p w14:paraId="507CB32C" w14:textId="4496A2F2" w:rsidR="001E63CC" w:rsidRPr="00E53C3B" w:rsidRDefault="00F4677E" w:rsidP="00E94B7B">
      <w:pPr>
        <w:spacing w:after="0" w:line="360" w:lineRule="auto"/>
        <w:jc w:val="both"/>
        <w:rPr>
          <w:rFonts w:cstheme="minorHAnsi"/>
          <w:bCs/>
          <w:sz w:val="27"/>
          <w:szCs w:val="27"/>
          <w:lang w:eastAsia="es-MX"/>
        </w:rPr>
      </w:pPr>
      <w:r>
        <w:rPr>
          <w:rFonts w:cstheme="minorHAnsi"/>
          <w:b/>
          <w:sz w:val="27"/>
          <w:szCs w:val="27"/>
          <w:lang w:eastAsia="es-MX"/>
        </w:rPr>
        <w:t xml:space="preserve">e) </w:t>
      </w:r>
      <w:r w:rsidR="001E63CC" w:rsidRPr="00453FC9">
        <w:rPr>
          <w:rFonts w:cstheme="minorHAnsi"/>
          <w:b/>
          <w:sz w:val="27"/>
          <w:szCs w:val="27"/>
          <w:lang w:eastAsia="es-MX"/>
        </w:rPr>
        <w:t>Definitividad y firmeza.</w:t>
      </w:r>
      <w:r w:rsidR="001350D6" w:rsidRPr="00453FC9">
        <w:rPr>
          <w:rFonts w:cstheme="minorHAnsi"/>
          <w:b/>
          <w:sz w:val="27"/>
          <w:szCs w:val="27"/>
          <w:lang w:eastAsia="es-MX"/>
        </w:rPr>
        <w:t xml:space="preserve"> </w:t>
      </w:r>
      <w:r w:rsidR="001350D6" w:rsidRPr="00453FC9">
        <w:rPr>
          <w:rFonts w:cstheme="minorHAnsi"/>
          <w:sz w:val="27"/>
          <w:szCs w:val="27"/>
          <w:lang w:eastAsia="es-MX"/>
        </w:rPr>
        <w:t xml:space="preserve">El acto impugnado resulta definitivo y firme en tanto que </w:t>
      </w:r>
      <w:r w:rsidR="002D5DB0" w:rsidRPr="00453FC9">
        <w:rPr>
          <w:rFonts w:cstheme="minorHAnsi"/>
          <w:sz w:val="27"/>
          <w:szCs w:val="27"/>
          <w:lang w:eastAsia="es-MX"/>
        </w:rPr>
        <w:t xml:space="preserve">la Legislación electoral de </w:t>
      </w:r>
      <w:r>
        <w:rPr>
          <w:rFonts w:cstheme="minorHAnsi"/>
          <w:sz w:val="27"/>
          <w:szCs w:val="27"/>
          <w:lang w:eastAsia="es-MX"/>
        </w:rPr>
        <w:t xml:space="preserve">Jalisco, </w:t>
      </w:r>
      <w:r w:rsidR="002D5DB0" w:rsidRPr="00453FC9">
        <w:rPr>
          <w:rFonts w:cstheme="minorHAnsi"/>
          <w:sz w:val="27"/>
          <w:szCs w:val="27"/>
          <w:lang w:eastAsia="es-MX"/>
        </w:rPr>
        <w:t>no contempla algún medio o recurso que pueda anular o modificar las determinaciones emitidas por el T</w:t>
      </w:r>
      <w:r>
        <w:rPr>
          <w:rFonts w:cstheme="minorHAnsi"/>
          <w:sz w:val="27"/>
          <w:szCs w:val="27"/>
          <w:lang w:eastAsia="es-MX"/>
        </w:rPr>
        <w:t>ribunal Electoral de la referida entidad</w:t>
      </w:r>
      <w:r w:rsidR="002D5DB0" w:rsidRPr="00453FC9">
        <w:rPr>
          <w:rFonts w:cstheme="minorHAnsi"/>
          <w:sz w:val="27"/>
          <w:szCs w:val="27"/>
          <w:lang w:eastAsia="es-MX"/>
        </w:rPr>
        <w:t>.</w:t>
      </w:r>
      <w:r w:rsidR="001E63CC" w:rsidRPr="00E53C3B">
        <w:rPr>
          <w:rFonts w:cstheme="minorHAnsi"/>
          <w:bCs/>
          <w:sz w:val="27"/>
          <w:szCs w:val="27"/>
          <w:lang w:eastAsia="es-MX"/>
        </w:rPr>
        <w:t xml:space="preserve"> </w:t>
      </w:r>
    </w:p>
    <w:p w14:paraId="6CE93117" w14:textId="77777777" w:rsidR="00F4677E" w:rsidRDefault="00F4677E" w:rsidP="00E94B7B">
      <w:pPr>
        <w:spacing w:after="0" w:line="360" w:lineRule="auto"/>
        <w:jc w:val="both"/>
        <w:rPr>
          <w:rFonts w:cstheme="minorHAnsi"/>
          <w:sz w:val="27"/>
          <w:szCs w:val="27"/>
          <w:lang w:eastAsia="es-MX"/>
        </w:rPr>
      </w:pPr>
    </w:p>
    <w:p w14:paraId="5AF26DCF" w14:textId="64F382AE" w:rsidR="001E63CC" w:rsidRPr="00E53C3B" w:rsidRDefault="001E63CC" w:rsidP="00E94B7B">
      <w:pPr>
        <w:spacing w:after="0" w:line="360" w:lineRule="auto"/>
        <w:jc w:val="both"/>
        <w:rPr>
          <w:rFonts w:cstheme="minorHAnsi"/>
          <w:sz w:val="27"/>
          <w:szCs w:val="27"/>
          <w:lang w:eastAsia="es-MX"/>
        </w:rPr>
      </w:pPr>
      <w:r w:rsidRPr="00E53C3B">
        <w:rPr>
          <w:rFonts w:cstheme="minorHAnsi"/>
          <w:sz w:val="27"/>
          <w:szCs w:val="27"/>
          <w:lang w:eastAsia="es-MX"/>
        </w:rPr>
        <w:t xml:space="preserve">En consecuencia, al estar colmados los requisitos de procedencia y procedibilidad del medio de impugnación, lo conducente es </w:t>
      </w:r>
      <w:r w:rsidR="0004021A" w:rsidRPr="00E53C3B">
        <w:rPr>
          <w:rFonts w:cstheme="minorHAnsi"/>
          <w:sz w:val="27"/>
          <w:szCs w:val="27"/>
          <w:lang w:eastAsia="es-MX"/>
        </w:rPr>
        <w:t xml:space="preserve">continuar con el </w:t>
      </w:r>
      <w:r w:rsidRPr="00E53C3B">
        <w:rPr>
          <w:rFonts w:cstheme="minorHAnsi"/>
          <w:sz w:val="27"/>
          <w:szCs w:val="27"/>
          <w:lang w:eastAsia="es-MX"/>
        </w:rPr>
        <w:t>estudi</w:t>
      </w:r>
      <w:r w:rsidR="0004021A" w:rsidRPr="00E53C3B">
        <w:rPr>
          <w:rFonts w:cstheme="minorHAnsi"/>
          <w:sz w:val="27"/>
          <w:szCs w:val="27"/>
          <w:lang w:eastAsia="es-MX"/>
        </w:rPr>
        <w:t>o</w:t>
      </w:r>
      <w:r w:rsidRPr="00E53C3B">
        <w:rPr>
          <w:rFonts w:cstheme="minorHAnsi"/>
          <w:sz w:val="27"/>
          <w:szCs w:val="27"/>
          <w:lang w:eastAsia="es-MX"/>
        </w:rPr>
        <w:t xml:space="preserve"> </w:t>
      </w:r>
      <w:r w:rsidR="00F12F46" w:rsidRPr="00E53C3B">
        <w:rPr>
          <w:rFonts w:cstheme="minorHAnsi"/>
          <w:sz w:val="27"/>
          <w:szCs w:val="27"/>
          <w:lang w:eastAsia="es-MX"/>
        </w:rPr>
        <w:t>del presente juicio</w:t>
      </w:r>
      <w:r w:rsidR="0004021A" w:rsidRPr="00E53C3B">
        <w:rPr>
          <w:rFonts w:cstheme="minorHAnsi"/>
          <w:sz w:val="27"/>
          <w:szCs w:val="27"/>
          <w:lang w:eastAsia="es-MX"/>
        </w:rPr>
        <w:t>.</w:t>
      </w:r>
    </w:p>
    <w:p w14:paraId="216B7B56" w14:textId="77777777" w:rsidR="00B273FF" w:rsidRPr="00E53C3B" w:rsidRDefault="00B273FF" w:rsidP="00E94B7B">
      <w:pPr>
        <w:spacing w:after="0" w:line="360" w:lineRule="auto"/>
        <w:jc w:val="both"/>
        <w:rPr>
          <w:rFonts w:cstheme="minorHAnsi"/>
          <w:sz w:val="27"/>
          <w:szCs w:val="27"/>
          <w:lang w:eastAsia="es-MX"/>
        </w:rPr>
      </w:pPr>
    </w:p>
    <w:p w14:paraId="56A57ED8" w14:textId="6C99AF70" w:rsidR="00B31FCB" w:rsidRDefault="0004021A" w:rsidP="00E94B7B">
      <w:pPr>
        <w:spacing w:after="0" w:line="360" w:lineRule="auto"/>
        <w:jc w:val="both"/>
        <w:rPr>
          <w:rFonts w:cstheme="minorHAnsi"/>
          <w:bCs/>
          <w:sz w:val="27"/>
          <w:szCs w:val="27"/>
        </w:rPr>
      </w:pPr>
      <w:r w:rsidRPr="00E53C3B">
        <w:rPr>
          <w:rFonts w:cstheme="minorHAnsi"/>
          <w:b/>
          <w:bCs/>
          <w:sz w:val="27"/>
          <w:szCs w:val="27"/>
        </w:rPr>
        <w:t>TERCER</w:t>
      </w:r>
      <w:r w:rsidR="00E90CD1">
        <w:rPr>
          <w:rFonts w:cstheme="minorHAnsi"/>
          <w:b/>
          <w:bCs/>
          <w:sz w:val="27"/>
          <w:szCs w:val="27"/>
        </w:rPr>
        <w:t>O</w:t>
      </w:r>
      <w:r w:rsidRPr="00E53C3B">
        <w:rPr>
          <w:rFonts w:cstheme="minorHAnsi"/>
          <w:b/>
          <w:bCs/>
          <w:sz w:val="27"/>
          <w:szCs w:val="27"/>
        </w:rPr>
        <w:t xml:space="preserve">. </w:t>
      </w:r>
      <w:r w:rsidR="00C131EF">
        <w:rPr>
          <w:rFonts w:cstheme="minorHAnsi"/>
          <w:b/>
          <w:bCs/>
          <w:sz w:val="27"/>
          <w:szCs w:val="27"/>
        </w:rPr>
        <w:t xml:space="preserve">Síntesis de Agravios y </w:t>
      </w:r>
      <w:r w:rsidR="00C131EF" w:rsidRPr="00EB6417">
        <w:rPr>
          <w:rFonts w:cstheme="minorHAnsi"/>
          <w:b/>
          <w:bCs/>
          <w:sz w:val="27"/>
          <w:szCs w:val="27"/>
        </w:rPr>
        <w:t>e</w:t>
      </w:r>
      <w:r w:rsidR="00B31FCB" w:rsidRPr="00EB6417">
        <w:rPr>
          <w:rFonts w:cstheme="minorHAnsi"/>
          <w:b/>
          <w:bCs/>
          <w:sz w:val="27"/>
          <w:szCs w:val="27"/>
        </w:rPr>
        <w:t xml:space="preserve">studio de fondo. </w:t>
      </w:r>
      <w:r w:rsidR="00B31FCB" w:rsidRPr="00EB6417">
        <w:rPr>
          <w:rFonts w:cstheme="minorHAnsi"/>
          <w:bCs/>
          <w:sz w:val="27"/>
          <w:szCs w:val="27"/>
        </w:rPr>
        <w:t>En su demanda, el actor expresa los siguientes motivos de disenso:</w:t>
      </w:r>
    </w:p>
    <w:p w14:paraId="769B5AEC" w14:textId="77777777" w:rsidR="0056761E" w:rsidRDefault="0056761E" w:rsidP="00E94B7B">
      <w:pPr>
        <w:spacing w:after="0" w:line="360" w:lineRule="auto"/>
        <w:jc w:val="both"/>
        <w:rPr>
          <w:rFonts w:cstheme="minorHAnsi"/>
          <w:b/>
          <w:sz w:val="27"/>
          <w:szCs w:val="27"/>
        </w:rPr>
      </w:pPr>
      <w:r>
        <w:rPr>
          <w:rFonts w:cstheme="minorHAnsi"/>
          <w:b/>
          <w:sz w:val="27"/>
          <w:szCs w:val="27"/>
        </w:rPr>
        <w:lastRenderedPageBreak/>
        <w:t xml:space="preserve">Agravio </w:t>
      </w:r>
      <w:r w:rsidR="00E90CD1">
        <w:rPr>
          <w:rFonts w:cstheme="minorHAnsi"/>
          <w:b/>
          <w:sz w:val="27"/>
          <w:szCs w:val="27"/>
        </w:rPr>
        <w:t xml:space="preserve">1. </w:t>
      </w:r>
    </w:p>
    <w:p w14:paraId="1DFCBE64" w14:textId="77777777" w:rsidR="0056761E" w:rsidRDefault="0056761E" w:rsidP="00E94B7B">
      <w:pPr>
        <w:spacing w:after="0" w:line="360" w:lineRule="auto"/>
        <w:jc w:val="both"/>
        <w:rPr>
          <w:rFonts w:cstheme="minorHAnsi"/>
          <w:b/>
          <w:sz w:val="27"/>
          <w:szCs w:val="27"/>
        </w:rPr>
      </w:pPr>
    </w:p>
    <w:p w14:paraId="7C1A9CFC" w14:textId="40FBFBEE" w:rsidR="00EB6417" w:rsidRDefault="00EB6417" w:rsidP="00E94B7B">
      <w:pPr>
        <w:spacing w:after="0" w:line="360" w:lineRule="auto"/>
        <w:jc w:val="both"/>
        <w:rPr>
          <w:rFonts w:cstheme="minorHAnsi"/>
          <w:b/>
          <w:sz w:val="27"/>
          <w:szCs w:val="27"/>
        </w:rPr>
      </w:pPr>
      <w:r w:rsidRPr="00EB6417">
        <w:rPr>
          <w:rFonts w:cstheme="minorHAnsi"/>
          <w:bCs/>
          <w:sz w:val="27"/>
          <w:szCs w:val="27"/>
        </w:rPr>
        <w:t>Se duele el actor, de que nunca fue notificado como tercero interesado</w:t>
      </w:r>
      <w:r>
        <w:rPr>
          <w:rFonts w:cstheme="minorHAnsi"/>
          <w:bCs/>
          <w:sz w:val="27"/>
          <w:szCs w:val="27"/>
        </w:rPr>
        <w:t xml:space="preserve"> </w:t>
      </w:r>
      <w:r w:rsidRPr="00EB6417">
        <w:rPr>
          <w:rFonts w:cstheme="minorHAnsi"/>
          <w:bCs/>
          <w:sz w:val="27"/>
          <w:szCs w:val="27"/>
        </w:rPr>
        <w:t>por parte del Tribunal Electoral de Jalisco,</w:t>
      </w:r>
      <w:r>
        <w:rPr>
          <w:rFonts w:cstheme="minorHAnsi"/>
          <w:bCs/>
          <w:sz w:val="27"/>
          <w:szCs w:val="27"/>
        </w:rPr>
        <w:t xml:space="preserve"> e los recursos de apelación de donde deriva la resolución </w:t>
      </w:r>
      <w:proofErr w:type="gramStart"/>
      <w:r>
        <w:rPr>
          <w:rFonts w:cstheme="minorHAnsi"/>
          <w:bCs/>
          <w:sz w:val="27"/>
          <w:szCs w:val="27"/>
        </w:rPr>
        <w:t>impugnada,</w:t>
      </w:r>
      <w:r w:rsidRPr="00EB6417">
        <w:rPr>
          <w:rFonts w:cstheme="minorHAnsi"/>
          <w:bCs/>
          <w:sz w:val="27"/>
          <w:szCs w:val="27"/>
        </w:rPr>
        <w:t xml:space="preserve">  ya</w:t>
      </w:r>
      <w:proofErr w:type="gramEnd"/>
      <w:r w:rsidRPr="00EB6417">
        <w:rPr>
          <w:rFonts w:cstheme="minorHAnsi"/>
          <w:bCs/>
          <w:sz w:val="27"/>
          <w:szCs w:val="27"/>
        </w:rPr>
        <w:t xml:space="preserve"> que según su óptica debió ser notificado conforme lo establece la fracción IX, del artículo 507 del Código Electoral de Jalisco.</w:t>
      </w:r>
      <w:r>
        <w:rPr>
          <w:rFonts w:cstheme="minorHAnsi"/>
          <w:b/>
          <w:sz w:val="27"/>
          <w:szCs w:val="27"/>
        </w:rPr>
        <w:t xml:space="preserve"> </w:t>
      </w:r>
    </w:p>
    <w:p w14:paraId="43CB70B6" w14:textId="27BAB4C1" w:rsidR="00EB6417" w:rsidRDefault="00EB6417" w:rsidP="00E94B7B">
      <w:pPr>
        <w:spacing w:after="0" w:line="360" w:lineRule="auto"/>
        <w:jc w:val="both"/>
        <w:rPr>
          <w:rFonts w:cstheme="minorHAnsi"/>
          <w:b/>
          <w:sz w:val="27"/>
          <w:szCs w:val="27"/>
        </w:rPr>
      </w:pPr>
    </w:p>
    <w:p w14:paraId="40B51619" w14:textId="1A7E6D1F" w:rsidR="00EB6417" w:rsidRDefault="00EB6417" w:rsidP="00E94B7B">
      <w:pPr>
        <w:spacing w:after="0" w:line="360" w:lineRule="auto"/>
        <w:jc w:val="both"/>
        <w:rPr>
          <w:rFonts w:cstheme="minorHAnsi"/>
          <w:b/>
          <w:sz w:val="27"/>
          <w:szCs w:val="27"/>
        </w:rPr>
      </w:pPr>
      <w:r>
        <w:rPr>
          <w:rFonts w:cstheme="minorHAnsi"/>
          <w:b/>
          <w:sz w:val="27"/>
          <w:szCs w:val="27"/>
        </w:rPr>
        <w:t>R</w:t>
      </w:r>
      <w:r w:rsidR="0056761E">
        <w:rPr>
          <w:rFonts w:cstheme="minorHAnsi"/>
          <w:b/>
          <w:sz w:val="27"/>
          <w:szCs w:val="27"/>
        </w:rPr>
        <w:t>espuesta</w:t>
      </w:r>
      <w:r>
        <w:rPr>
          <w:rFonts w:cstheme="minorHAnsi"/>
          <w:b/>
          <w:sz w:val="27"/>
          <w:szCs w:val="27"/>
        </w:rPr>
        <w:t xml:space="preserve"> </w:t>
      </w:r>
    </w:p>
    <w:p w14:paraId="705FDB70" w14:textId="287239C5" w:rsidR="00EB6417" w:rsidRDefault="00EB6417" w:rsidP="00E94B7B">
      <w:pPr>
        <w:spacing w:after="0" w:line="360" w:lineRule="auto"/>
        <w:jc w:val="both"/>
        <w:rPr>
          <w:rFonts w:cstheme="minorHAnsi"/>
          <w:b/>
          <w:sz w:val="27"/>
          <w:szCs w:val="27"/>
        </w:rPr>
      </w:pPr>
    </w:p>
    <w:p w14:paraId="411F0B90" w14:textId="47422483" w:rsidR="00EB6417" w:rsidRDefault="00EB6417" w:rsidP="00E94B7B">
      <w:pPr>
        <w:spacing w:after="0" w:line="360" w:lineRule="auto"/>
        <w:jc w:val="both"/>
        <w:rPr>
          <w:rFonts w:cstheme="minorHAnsi"/>
          <w:b/>
          <w:sz w:val="27"/>
          <w:szCs w:val="27"/>
        </w:rPr>
      </w:pPr>
      <w:r w:rsidRPr="00EB6417">
        <w:rPr>
          <w:rFonts w:cstheme="minorHAnsi"/>
          <w:bCs/>
          <w:sz w:val="27"/>
          <w:szCs w:val="27"/>
        </w:rPr>
        <w:t>El agravio es</w:t>
      </w:r>
      <w:r>
        <w:rPr>
          <w:rFonts w:cstheme="minorHAnsi"/>
          <w:b/>
          <w:sz w:val="27"/>
          <w:szCs w:val="27"/>
        </w:rPr>
        <w:t xml:space="preserve"> infundado. </w:t>
      </w:r>
    </w:p>
    <w:p w14:paraId="688D89E6" w14:textId="4F7F9306" w:rsidR="00EB6417" w:rsidRDefault="00EB6417" w:rsidP="00E94B7B">
      <w:pPr>
        <w:spacing w:after="0" w:line="360" w:lineRule="auto"/>
        <w:jc w:val="both"/>
        <w:rPr>
          <w:rFonts w:cstheme="minorHAnsi"/>
          <w:b/>
          <w:sz w:val="27"/>
          <w:szCs w:val="27"/>
        </w:rPr>
      </w:pPr>
    </w:p>
    <w:p w14:paraId="02DB5A8A" w14:textId="77777777" w:rsidR="000761FE" w:rsidRDefault="00EB6417" w:rsidP="00EB6417">
      <w:pPr>
        <w:pStyle w:val="Normal2"/>
        <w:tabs>
          <w:tab w:val="left" w:pos="426"/>
        </w:tabs>
        <w:spacing w:line="360" w:lineRule="auto"/>
        <w:jc w:val="both"/>
        <w:rPr>
          <w:rFonts w:asciiTheme="minorHAnsi" w:hAnsiTheme="minorHAnsi" w:cstheme="minorHAnsi"/>
          <w:sz w:val="27"/>
          <w:szCs w:val="27"/>
          <w:lang w:val="es-ES"/>
        </w:rPr>
      </w:pPr>
      <w:r w:rsidRPr="00EB6417">
        <w:rPr>
          <w:rFonts w:asciiTheme="minorHAnsi" w:hAnsiTheme="minorHAnsi" w:cstheme="minorHAnsi"/>
          <w:bCs/>
          <w:sz w:val="27"/>
          <w:szCs w:val="27"/>
        </w:rPr>
        <w:t>Lo anterior, toda vez que</w:t>
      </w:r>
      <w:r w:rsidR="000761FE">
        <w:rPr>
          <w:rFonts w:asciiTheme="minorHAnsi" w:hAnsiTheme="minorHAnsi" w:cstheme="minorHAnsi"/>
          <w:bCs/>
          <w:sz w:val="27"/>
          <w:szCs w:val="27"/>
          <w:lang w:val="es-MX"/>
        </w:rPr>
        <w:t xml:space="preserve"> de acuerdo a lo dispuesto por el </w:t>
      </w:r>
      <w:r w:rsidRPr="00EB6417">
        <w:rPr>
          <w:rFonts w:asciiTheme="minorHAnsi" w:hAnsiTheme="minorHAnsi" w:cstheme="minorHAnsi"/>
          <w:sz w:val="27"/>
          <w:szCs w:val="27"/>
          <w:lang w:val="es-ES"/>
        </w:rPr>
        <w:t xml:space="preserve"> artículo </w:t>
      </w:r>
      <w:r w:rsidR="000761FE">
        <w:rPr>
          <w:rFonts w:asciiTheme="minorHAnsi" w:hAnsiTheme="minorHAnsi" w:cstheme="minorHAnsi"/>
          <w:sz w:val="27"/>
          <w:szCs w:val="27"/>
          <w:lang w:val="es-ES"/>
        </w:rPr>
        <w:t>555 del Código Electoral del Estado de Jalisco, l</w:t>
      </w:r>
      <w:r w:rsidR="000761FE" w:rsidRPr="000761FE">
        <w:rPr>
          <w:rFonts w:asciiTheme="minorHAnsi" w:hAnsiTheme="minorHAnsi" w:cstheme="minorHAnsi"/>
          <w:sz w:val="27"/>
          <w:szCs w:val="27"/>
          <w:lang w:val="es-ES"/>
        </w:rPr>
        <w:t xml:space="preserve">os estrados, son los espacios del Instituto Electoral y del Tribunal Electoral que tienen como destino la colocación de las copias de los medios de impugnación, de los escritos de terceros interesados y de los coadyuvantes, así como de los acuerdos, autos, resoluciones y sentencias que les recaigan, </w:t>
      </w:r>
      <w:r w:rsidR="000761FE" w:rsidRPr="000761FE">
        <w:rPr>
          <w:rFonts w:asciiTheme="minorHAnsi" w:hAnsiTheme="minorHAnsi" w:cstheme="minorHAnsi"/>
          <w:b/>
          <w:bCs/>
          <w:sz w:val="27"/>
          <w:szCs w:val="27"/>
          <w:lang w:val="es-ES"/>
        </w:rPr>
        <w:t>para efectos de notificación y publicidad.</w:t>
      </w:r>
      <w:r w:rsidR="000761FE" w:rsidRPr="000761FE">
        <w:rPr>
          <w:rFonts w:asciiTheme="minorHAnsi" w:hAnsiTheme="minorHAnsi" w:cstheme="minorHAnsi"/>
          <w:sz w:val="27"/>
          <w:szCs w:val="27"/>
          <w:lang w:val="es-ES"/>
        </w:rPr>
        <w:t xml:space="preserve"> </w:t>
      </w:r>
    </w:p>
    <w:p w14:paraId="40339AE6" w14:textId="77777777" w:rsidR="000761FE" w:rsidRDefault="000761FE" w:rsidP="00EB6417">
      <w:pPr>
        <w:pStyle w:val="Normal2"/>
        <w:tabs>
          <w:tab w:val="left" w:pos="426"/>
        </w:tabs>
        <w:spacing w:line="360" w:lineRule="auto"/>
        <w:jc w:val="both"/>
        <w:rPr>
          <w:rFonts w:asciiTheme="minorHAnsi" w:hAnsiTheme="minorHAnsi" w:cstheme="minorHAnsi"/>
          <w:sz w:val="27"/>
          <w:szCs w:val="27"/>
          <w:lang w:val="es-ES"/>
        </w:rPr>
      </w:pPr>
    </w:p>
    <w:p w14:paraId="7ED90C71" w14:textId="3BF05DBF" w:rsidR="000761FE" w:rsidRPr="000761FE" w:rsidRDefault="000761FE" w:rsidP="00EB6417">
      <w:pPr>
        <w:pStyle w:val="Normal2"/>
        <w:tabs>
          <w:tab w:val="left" w:pos="426"/>
        </w:tabs>
        <w:spacing w:line="360" w:lineRule="auto"/>
        <w:jc w:val="both"/>
        <w:rPr>
          <w:rFonts w:asciiTheme="minorHAnsi" w:hAnsiTheme="minorHAnsi" w:cstheme="minorHAnsi"/>
          <w:sz w:val="27"/>
          <w:szCs w:val="27"/>
          <w:lang w:val="es-MX"/>
        </w:rPr>
      </w:pPr>
      <w:r>
        <w:rPr>
          <w:rFonts w:asciiTheme="minorHAnsi" w:hAnsiTheme="minorHAnsi" w:cstheme="minorHAnsi"/>
          <w:sz w:val="27"/>
          <w:szCs w:val="27"/>
          <w:lang w:val="es-ES"/>
        </w:rPr>
        <w:t xml:space="preserve">Además, conforme a la fracción II, del artículo 527del mismo ordenamiento, </w:t>
      </w:r>
      <w:r w:rsidRPr="000761FE">
        <w:rPr>
          <w:rFonts w:asciiTheme="minorHAnsi" w:hAnsiTheme="minorHAnsi" w:cstheme="minorHAnsi"/>
          <w:sz w:val="27"/>
          <w:szCs w:val="27"/>
          <w:lang w:val="es-ES"/>
        </w:rPr>
        <w:t>la autoridad que reciba un medio de impugnación, en contra de un acto emitido o resolución dictada por ella, bajo su más estricta responsabilidad y de inmediato, deberá hacerlo del conocimiento público mediante cédula que durante un plazo de cuarenta y ocho horas se fije en los estrados respectivos o por cualquier otro procedimiento que garantice fehacientemente la publicidad del escrito.</w:t>
      </w:r>
    </w:p>
    <w:p w14:paraId="302714D4" w14:textId="03A86571" w:rsidR="000761FE" w:rsidRDefault="000761FE" w:rsidP="00EB6417">
      <w:pPr>
        <w:pStyle w:val="Normal2"/>
        <w:tabs>
          <w:tab w:val="left" w:pos="426"/>
        </w:tabs>
        <w:spacing w:line="360" w:lineRule="auto"/>
        <w:jc w:val="both"/>
        <w:rPr>
          <w:rFonts w:asciiTheme="minorHAnsi" w:hAnsiTheme="minorHAnsi" w:cstheme="minorHAnsi"/>
          <w:sz w:val="27"/>
          <w:szCs w:val="27"/>
          <w:lang w:val="es-ES"/>
        </w:rPr>
      </w:pPr>
    </w:p>
    <w:p w14:paraId="6E485373" w14:textId="39A3F782" w:rsidR="000761FE" w:rsidRDefault="000761FE" w:rsidP="00EB6417">
      <w:pPr>
        <w:pStyle w:val="Normal2"/>
        <w:tabs>
          <w:tab w:val="left" w:pos="426"/>
        </w:tabs>
        <w:spacing w:line="360" w:lineRule="auto"/>
        <w:jc w:val="both"/>
        <w:rPr>
          <w:rFonts w:asciiTheme="minorHAnsi" w:hAnsiTheme="minorHAnsi" w:cstheme="minorHAnsi"/>
          <w:sz w:val="27"/>
          <w:szCs w:val="27"/>
          <w:lang w:val="es-ES"/>
        </w:rPr>
      </w:pPr>
      <w:r>
        <w:rPr>
          <w:rFonts w:asciiTheme="minorHAnsi" w:hAnsiTheme="minorHAnsi" w:cstheme="minorHAnsi"/>
          <w:sz w:val="27"/>
          <w:szCs w:val="27"/>
          <w:lang w:val="es-ES"/>
        </w:rPr>
        <w:t xml:space="preserve">Lo anterior, no tiene otra finalidad, sino </w:t>
      </w:r>
      <w:r w:rsidR="00CC73B3" w:rsidRPr="00CC73B3">
        <w:rPr>
          <w:rFonts w:asciiTheme="minorHAnsi" w:hAnsiTheme="minorHAnsi" w:cstheme="minorHAnsi"/>
          <w:b/>
          <w:bCs/>
          <w:sz w:val="27"/>
          <w:szCs w:val="27"/>
          <w:lang w:val="es-ES"/>
        </w:rPr>
        <w:t>hacer del conocimiento</w:t>
      </w:r>
      <w:r w:rsidR="00CC73B3">
        <w:rPr>
          <w:rFonts w:asciiTheme="minorHAnsi" w:hAnsiTheme="minorHAnsi" w:cstheme="minorHAnsi"/>
          <w:b/>
          <w:bCs/>
          <w:sz w:val="27"/>
          <w:szCs w:val="27"/>
          <w:lang w:val="es-ES"/>
        </w:rPr>
        <w:t xml:space="preserve"> público,</w:t>
      </w:r>
      <w:r w:rsidR="00CC73B3" w:rsidRPr="00CC73B3">
        <w:rPr>
          <w:rFonts w:asciiTheme="minorHAnsi" w:hAnsiTheme="minorHAnsi" w:cstheme="minorHAnsi"/>
          <w:b/>
          <w:bCs/>
          <w:sz w:val="27"/>
          <w:szCs w:val="27"/>
          <w:lang w:val="es-ES"/>
        </w:rPr>
        <w:t xml:space="preserve"> </w:t>
      </w:r>
      <w:r w:rsidR="00CC73B3">
        <w:rPr>
          <w:rFonts w:asciiTheme="minorHAnsi" w:hAnsiTheme="minorHAnsi" w:cstheme="minorHAnsi"/>
          <w:b/>
          <w:bCs/>
          <w:sz w:val="27"/>
          <w:szCs w:val="27"/>
          <w:lang w:val="es-ES"/>
        </w:rPr>
        <w:t xml:space="preserve">y </w:t>
      </w:r>
      <w:r w:rsidR="00CC73B3" w:rsidRPr="00CC73B3">
        <w:rPr>
          <w:rFonts w:asciiTheme="minorHAnsi" w:hAnsiTheme="minorHAnsi" w:cstheme="minorHAnsi"/>
          <w:b/>
          <w:bCs/>
          <w:sz w:val="27"/>
          <w:szCs w:val="27"/>
          <w:lang w:val="es-ES"/>
        </w:rPr>
        <w:t>de cualquier interesado</w:t>
      </w:r>
      <w:r w:rsidR="00CC73B3">
        <w:rPr>
          <w:rFonts w:asciiTheme="minorHAnsi" w:hAnsiTheme="minorHAnsi" w:cstheme="minorHAnsi"/>
          <w:b/>
          <w:bCs/>
          <w:sz w:val="27"/>
          <w:szCs w:val="27"/>
          <w:lang w:val="es-ES"/>
        </w:rPr>
        <w:t xml:space="preserve"> </w:t>
      </w:r>
      <w:r w:rsidR="00CC73B3">
        <w:rPr>
          <w:rFonts w:asciiTheme="minorHAnsi" w:hAnsiTheme="minorHAnsi" w:cstheme="minorHAnsi"/>
          <w:sz w:val="27"/>
          <w:szCs w:val="27"/>
          <w:lang w:val="es-ES"/>
        </w:rPr>
        <w:t xml:space="preserve">de la interposición de un medio de impugnación, </w:t>
      </w:r>
      <w:r w:rsidR="00CC73B3" w:rsidRPr="00CC73B3">
        <w:rPr>
          <w:rFonts w:asciiTheme="minorHAnsi" w:hAnsiTheme="minorHAnsi" w:cstheme="minorHAnsi"/>
          <w:b/>
          <w:bCs/>
          <w:sz w:val="27"/>
          <w:szCs w:val="27"/>
          <w:lang w:val="es-ES"/>
        </w:rPr>
        <w:t xml:space="preserve">para </w:t>
      </w:r>
      <w:proofErr w:type="gramStart"/>
      <w:r w:rsidR="00CC73B3" w:rsidRPr="00CC73B3">
        <w:rPr>
          <w:rFonts w:asciiTheme="minorHAnsi" w:hAnsiTheme="minorHAnsi" w:cstheme="minorHAnsi"/>
          <w:b/>
          <w:bCs/>
          <w:sz w:val="27"/>
          <w:szCs w:val="27"/>
          <w:lang w:val="es-ES"/>
        </w:rPr>
        <w:t>que</w:t>
      </w:r>
      <w:proofErr w:type="gramEnd"/>
      <w:r w:rsidR="00CC73B3" w:rsidRPr="00CC73B3">
        <w:rPr>
          <w:rFonts w:asciiTheme="minorHAnsi" w:hAnsiTheme="minorHAnsi" w:cstheme="minorHAnsi"/>
          <w:b/>
          <w:bCs/>
          <w:sz w:val="27"/>
          <w:szCs w:val="27"/>
          <w:lang w:val="es-ES"/>
        </w:rPr>
        <w:t xml:space="preserve"> en caso de ser de su interés</w:t>
      </w:r>
      <w:r w:rsidR="00CC73B3">
        <w:rPr>
          <w:rFonts w:asciiTheme="minorHAnsi" w:hAnsiTheme="minorHAnsi" w:cstheme="minorHAnsi"/>
          <w:sz w:val="27"/>
          <w:szCs w:val="27"/>
          <w:lang w:val="es-ES"/>
        </w:rPr>
        <w:t xml:space="preserve">, cualquier persona pueda comparecer en dicho medio de impugnación con el carácter de tercero interesado. </w:t>
      </w:r>
    </w:p>
    <w:p w14:paraId="625B19CE" w14:textId="5BF9DD09" w:rsidR="00CC73B3" w:rsidRDefault="00CC73B3" w:rsidP="00EB6417">
      <w:pPr>
        <w:pStyle w:val="Normal2"/>
        <w:tabs>
          <w:tab w:val="left" w:pos="426"/>
        </w:tabs>
        <w:spacing w:line="360" w:lineRule="auto"/>
        <w:jc w:val="both"/>
        <w:rPr>
          <w:rFonts w:asciiTheme="minorHAnsi" w:hAnsiTheme="minorHAnsi" w:cstheme="minorHAnsi"/>
          <w:sz w:val="27"/>
          <w:szCs w:val="27"/>
          <w:lang w:val="es-ES"/>
        </w:rPr>
      </w:pPr>
    </w:p>
    <w:p w14:paraId="1BA17D03" w14:textId="6D76E727" w:rsidR="00CC73B3" w:rsidRPr="00CC73B3" w:rsidRDefault="00CC73B3" w:rsidP="00EB6417">
      <w:pPr>
        <w:pStyle w:val="Normal2"/>
        <w:tabs>
          <w:tab w:val="left" w:pos="426"/>
        </w:tabs>
        <w:spacing w:line="360" w:lineRule="auto"/>
        <w:jc w:val="both"/>
        <w:rPr>
          <w:rFonts w:asciiTheme="minorHAnsi" w:hAnsiTheme="minorHAnsi" w:cstheme="minorHAnsi"/>
          <w:sz w:val="27"/>
          <w:szCs w:val="27"/>
          <w:lang w:val="es-MX"/>
        </w:rPr>
      </w:pPr>
      <w:r>
        <w:rPr>
          <w:rFonts w:asciiTheme="minorHAnsi" w:hAnsiTheme="minorHAnsi" w:cstheme="minorHAnsi"/>
          <w:sz w:val="27"/>
          <w:szCs w:val="27"/>
          <w:lang w:val="es-ES"/>
        </w:rPr>
        <w:lastRenderedPageBreak/>
        <w:t xml:space="preserve">En dichos términos lo establece el artículo 530 del mismo ordenamiento legal citado, </w:t>
      </w:r>
      <w:r w:rsidRPr="00CC73B3">
        <w:rPr>
          <w:rFonts w:asciiTheme="minorHAnsi" w:hAnsiTheme="minorHAnsi" w:cstheme="minorHAnsi"/>
          <w:i/>
          <w:iCs/>
          <w:sz w:val="27"/>
          <w:szCs w:val="27"/>
          <w:lang w:val="es-ES"/>
        </w:rPr>
        <w:t xml:space="preserve">“Los terceros interesados </w:t>
      </w:r>
      <w:r w:rsidRPr="00CC73B3">
        <w:rPr>
          <w:rFonts w:asciiTheme="minorHAnsi" w:hAnsiTheme="minorHAnsi" w:cstheme="minorHAnsi"/>
          <w:b/>
          <w:bCs/>
          <w:i/>
          <w:iCs/>
          <w:sz w:val="27"/>
          <w:szCs w:val="27"/>
          <w:lang w:val="es-ES"/>
        </w:rPr>
        <w:t>podrán</w:t>
      </w:r>
      <w:r w:rsidRPr="00CC73B3">
        <w:rPr>
          <w:rFonts w:asciiTheme="minorHAnsi" w:hAnsiTheme="minorHAnsi" w:cstheme="minorHAnsi"/>
          <w:i/>
          <w:iCs/>
          <w:sz w:val="27"/>
          <w:szCs w:val="27"/>
          <w:lang w:val="es-ES"/>
        </w:rPr>
        <w:t xml:space="preserve"> comparecer dentro del plazo de setenta y dos horas…”</w:t>
      </w:r>
      <w:r>
        <w:rPr>
          <w:sz w:val="20"/>
          <w:szCs w:val="20"/>
          <w:lang w:val="es-MX"/>
        </w:rPr>
        <w:t xml:space="preserve">, </w:t>
      </w:r>
      <w:r w:rsidRPr="00CC73B3">
        <w:rPr>
          <w:rFonts w:asciiTheme="minorHAnsi" w:hAnsiTheme="minorHAnsi" w:cstheme="minorHAnsi"/>
          <w:sz w:val="27"/>
          <w:szCs w:val="27"/>
          <w:lang w:val="es-ES"/>
        </w:rPr>
        <w:t xml:space="preserve">es decir, durante el plazo que la demanda se encuentra publicada en estrados. </w:t>
      </w:r>
    </w:p>
    <w:p w14:paraId="61BE96B2" w14:textId="77777777" w:rsidR="00EB6417" w:rsidRPr="00EB6417" w:rsidRDefault="00EB6417" w:rsidP="00EB6417">
      <w:pPr>
        <w:pStyle w:val="Normal2"/>
        <w:tabs>
          <w:tab w:val="left" w:pos="426"/>
        </w:tabs>
        <w:spacing w:line="360" w:lineRule="auto"/>
        <w:jc w:val="both"/>
        <w:rPr>
          <w:rFonts w:asciiTheme="minorHAnsi" w:hAnsiTheme="minorHAnsi" w:cstheme="minorHAnsi"/>
          <w:sz w:val="27"/>
          <w:szCs w:val="27"/>
          <w:lang w:val="es-ES"/>
        </w:rPr>
      </w:pPr>
    </w:p>
    <w:p w14:paraId="67A814D6" w14:textId="71C41BDB" w:rsidR="00EB6417" w:rsidRPr="00EB6417" w:rsidRDefault="00EB6417" w:rsidP="00EB6417">
      <w:pPr>
        <w:pStyle w:val="Normal2"/>
        <w:tabs>
          <w:tab w:val="left" w:pos="426"/>
        </w:tabs>
        <w:spacing w:line="360" w:lineRule="auto"/>
        <w:jc w:val="both"/>
        <w:rPr>
          <w:rFonts w:asciiTheme="minorHAnsi" w:hAnsiTheme="minorHAnsi" w:cstheme="minorHAnsi"/>
          <w:sz w:val="27"/>
          <w:szCs w:val="27"/>
          <w:lang w:val="es-ES"/>
        </w:rPr>
      </w:pPr>
      <w:r w:rsidRPr="00EB6417">
        <w:rPr>
          <w:rFonts w:asciiTheme="minorHAnsi" w:hAnsiTheme="minorHAnsi" w:cstheme="minorHAnsi"/>
          <w:sz w:val="27"/>
          <w:szCs w:val="27"/>
          <w:lang w:val="es-ES"/>
        </w:rPr>
        <w:t xml:space="preserve">En ese sentido, a diferencia de lo expuesto por el actor, en materia electoral son los terceros interesados quienes, atendiendo a la cédula publicada por la autoridad responsable, </w:t>
      </w:r>
      <w:r w:rsidRPr="001C4FD2">
        <w:rPr>
          <w:rFonts w:asciiTheme="minorHAnsi" w:hAnsiTheme="minorHAnsi" w:cstheme="minorHAnsi"/>
          <w:b/>
          <w:sz w:val="27"/>
          <w:szCs w:val="27"/>
          <w:lang w:val="es-ES"/>
        </w:rPr>
        <w:t xml:space="preserve">deben acudir </w:t>
      </w:r>
      <w:r w:rsidR="00CC73B3" w:rsidRPr="001C4FD2">
        <w:rPr>
          <w:rFonts w:asciiTheme="minorHAnsi" w:hAnsiTheme="minorHAnsi" w:cstheme="minorHAnsi"/>
          <w:b/>
          <w:sz w:val="27"/>
          <w:szCs w:val="27"/>
          <w:lang w:val="es-ES"/>
        </w:rPr>
        <w:t>si así lo desean</w:t>
      </w:r>
      <w:r w:rsidR="00CC73B3">
        <w:rPr>
          <w:rFonts w:asciiTheme="minorHAnsi" w:hAnsiTheme="minorHAnsi" w:cstheme="minorHAnsi"/>
          <w:sz w:val="27"/>
          <w:szCs w:val="27"/>
          <w:lang w:val="es-ES"/>
        </w:rPr>
        <w:t xml:space="preserve">, </w:t>
      </w:r>
      <w:r w:rsidRPr="00EB6417">
        <w:rPr>
          <w:rFonts w:asciiTheme="minorHAnsi" w:hAnsiTheme="minorHAnsi" w:cstheme="minorHAnsi"/>
          <w:sz w:val="27"/>
          <w:szCs w:val="27"/>
          <w:lang w:val="es-ES"/>
        </w:rPr>
        <w:t>a exponer sus posicionamientos dentro del juicio o recurso</w:t>
      </w:r>
      <w:r w:rsidR="00CC73B3">
        <w:rPr>
          <w:rFonts w:asciiTheme="minorHAnsi" w:hAnsiTheme="minorHAnsi" w:cstheme="minorHAnsi"/>
          <w:sz w:val="27"/>
          <w:szCs w:val="27"/>
          <w:lang w:val="es-ES"/>
        </w:rPr>
        <w:t xml:space="preserve"> </w:t>
      </w:r>
      <w:r w:rsidRPr="00EB6417">
        <w:rPr>
          <w:rFonts w:asciiTheme="minorHAnsi" w:hAnsiTheme="minorHAnsi" w:cstheme="minorHAnsi"/>
          <w:sz w:val="27"/>
          <w:szCs w:val="27"/>
          <w:lang w:val="es-ES"/>
        </w:rPr>
        <w:t>correspondiente, sin que exista una carga específica para los promoventes o la autoridad responsable de señalar quién o quienes pudieran ser terceros interesados en el asunto</w:t>
      </w:r>
      <w:r w:rsidR="00CC73B3">
        <w:rPr>
          <w:rFonts w:asciiTheme="minorHAnsi" w:hAnsiTheme="minorHAnsi" w:cstheme="minorHAnsi"/>
          <w:sz w:val="27"/>
          <w:szCs w:val="27"/>
          <w:lang w:val="es-ES"/>
        </w:rPr>
        <w:t xml:space="preserve">, por lo que la autoridad que conoce de un medio de impugnación no está obligada a llamar a ninguna persona al juicio, como equivocadamente lo considera el actor. </w:t>
      </w:r>
      <w:r w:rsidRPr="00EB6417">
        <w:rPr>
          <w:rFonts w:asciiTheme="minorHAnsi" w:hAnsiTheme="minorHAnsi" w:cstheme="minorHAnsi"/>
          <w:sz w:val="27"/>
          <w:szCs w:val="27"/>
          <w:lang w:val="es-ES"/>
        </w:rPr>
        <w:t xml:space="preserve"> </w:t>
      </w:r>
    </w:p>
    <w:p w14:paraId="36344CBB" w14:textId="77777777" w:rsidR="00EB6417" w:rsidRPr="00EB6417" w:rsidRDefault="00EB6417" w:rsidP="00EB6417">
      <w:pPr>
        <w:pStyle w:val="Normal2"/>
        <w:tabs>
          <w:tab w:val="left" w:pos="426"/>
        </w:tabs>
        <w:spacing w:line="360" w:lineRule="auto"/>
        <w:jc w:val="both"/>
        <w:rPr>
          <w:rFonts w:asciiTheme="minorHAnsi" w:hAnsiTheme="minorHAnsi" w:cstheme="minorHAnsi"/>
          <w:sz w:val="27"/>
          <w:szCs w:val="27"/>
          <w:lang w:val="es-ES"/>
        </w:rPr>
      </w:pPr>
    </w:p>
    <w:p w14:paraId="0F70667F" w14:textId="0D1C3934" w:rsidR="00EB6417" w:rsidRPr="00EB6417" w:rsidRDefault="00EB6417" w:rsidP="00EB6417">
      <w:pPr>
        <w:pStyle w:val="Normal2"/>
        <w:tabs>
          <w:tab w:val="left" w:pos="426"/>
        </w:tabs>
        <w:spacing w:line="360" w:lineRule="auto"/>
        <w:jc w:val="both"/>
        <w:rPr>
          <w:rFonts w:asciiTheme="minorHAnsi" w:hAnsiTheme="minorHAnsi" w:cstheme="minorHAnsi"/>
          <w:sz w:val="27"/>
          <w:szCs w:val="27"/>
          <w:lang w:val="es-ES"/>
        </w:rPr>
      </w:pPr>
      <w:r w:rsidRPr="00EB6417">
        <w:rPr>
          <w:rFonts w:asciiTheme="minorHAnsi" w:hAnsiTheme="minorHAnsi" w:cstheme="minorHAnsi"/>
          <w:sz w:val="27"/>
          <w:szCs w:val="27"/>
          <w:lang w:val="es-ES"/>
        </w:rPr>
        <w:t xml:space="preserve">Aunado a lo expuesto, según la instrumental de actuaciones y de las constancias que integran el expediente </w:t>
      </w:r>
      <w:r w:rsidR="00CC73B3">
        <w:rPr>
          <w:rFonts w:asciiTheme="minorHAnsi" w:hAnsiTheme="minorHAnsi" w:cstheme="minorHAnsi"/>
          <w:sz w:val="27"/>
          <w:szCs w:val="27"/>
          <w:lang w:val="es-ES"/>
        </w:rPr>
        <w:t>primigenio,</w:t>
      </w:r>
      <w:r w:rsidRPr="00EB6417">
        <w:rPr>
          <w:rFonts w:asciiTheme="minorHAnsi" w:hAnsiTheme="minorHAnsi" w:cstheme="minorHAnsi"/>
          <w:sz w:val="27"/>
          <w:szCs w:val="27"/>
          <w:lang w:val="es-ES"/>
        </w:rPr>
        <w:t xml:space="preserve"> se advierte que el Instituto</w:t>
      </w:r>
      <w:r w:rsidR="00CC73B3">
        <w:rPr>
          <w:rFonts w:asciiTheme="minorHAnsi" w:hAnsiTheme="minorHAnsi" w:cstheme="minorHAnsi"/>
          <w:sz w:val="27"/>
          <w:szCs w:val="27"/>
          <w:lang w:val="es-ES"/>
        </w:rPr>
        <w:t xml:space="preserve"> Electoral, efectivamente</w:t>
      </w:r>
      <w:r w:rsidRPr="00EB6417">
        <w:rPr>
          <w:rFonts w:asciiTheme="minorHAnsi" w:hAnsiTheme="minorHAnsi" w:cstheme="minorHAnsi"/>
          <w:sz w:val="27"/>
          <w:szCs w:val="27"/>
          <w:lang w:val="es-ES"/>
        </w:rPr>
        <w:t xml:space="preserve"> publicó la cédula de notificación correspondiente al momento de recibir </w:t>
      </w:r>
      <w:r w:rsidR="00CC73B3">
        <w:rPr>
          <w:rFonts w:asciiTheme="minorHAnsi" w:hAnsiTheme="minorHAnsi" w:cstheme="minorHAnsi"/>
          <w:sz w:val="27"/>
          <w:szCs w:val="27"/>
          <w:lang w:val="es-ES"/>
        </w:rPr>
        <w:t>los recursos de apelación</w:t>
      </w:r>
      <w:r w:rsidRPr="00EB6417">
        <w:rPr>
          <w:rFonts w:asciiTheme="minorHAnsi" w:hAnsiTheme="minorHAnsi" w:cstheme="minorHAnsi"/>
          <w:sz w:val="27"/>
          <w:szCs w:val="27"/>
          <w:lang w:val="es-ES"/>
        </w:rPr>
        <w:t xml:space="preserve">, sin que </w:t>
      </w:r>
      <w:r w:rsidR="00CC73B3">
        <w:rPr>
          <w:rFonts w:asciiTheme="minorHAnsi" w:hAnsiTheme="minorHAnsi" w:cstheme="minorHAnsi"/>
          <w:sz w:val="27"/>
          <w:szCs w:val="27"/>
          <w:lang w:val="es-ES"/>
        </w:rPr>
        <w:t xml:space="preserve">se evidencie que </w:t>
      </w:r>
      <w:r w:rsidRPr="00EB6417">
        <w:rPr>
          <w:rFonts w:asciiTheme="minorHAnsi" w:hAnsiTheme="minorHAnsi" w:cstheme="minorHAnsi"/>
          <w:sz w:val="27"/>
          <w:szCs w:val="27"/>
          <w:lang w:val="es-ES"/>
        </w:rPr>
        <w:t xml:space="preserve">acudieran terceros interesados en el plazo previsto por la Ley.  </w:t>
      </w:r>
    </w:p>
    <w:p w14:paraId="6618D154" w14:textId="77777777" w:rsidR="00EB6417" w:rsidRPr="00EB6417" w:rsidRDefault="00EB6417" w:rsidP="00EB6417">
      <w:pPr>
        <w:pStyle w:val="Normal2"/>
        <w:tabs>
          <w:tab w:val="left" w:pos="426"/>
        </w:tabs>
        <w:spacing w:line="360" w:lineRule="auto"/>
        <w:jc w:val="both"/>
        <w:rPr>
          <w:rFonts w:asciiTheme="minorHAnsi" w:hAnsiTheme="minorHAnsi" w:cstheme="minorHAnsi"/>
          <w:sz w:val="27"/>
          <w:szCs w:val="27"/>
          <w:lang w:val="es-ES"/>
        </w:rPr>
      </w:pPr>
    </w:p>
    <w:p w14:paraId="61237062" w14:textId="77777777" w:rsidR="00EB6417" w:rsidRPr="00CC73B3" w:rsidRDefault="00EB6417" w:rsidP="00EB6417">
      <w:pPr>
        <w:pStyle w:val="Normal2"/>
        <w:tabs>
          <w:tab w:val="left" w:pos="426"/>
        </w:tabs>
        <w:spacing w:line="360" w:lineRule="auto"/>
        <w:jc w:val="both"/>
        <w:rPr>
          <w:rFonts w:asciiTheme="minorHAnsi" w:hAnsiTheme="minorHAnsi" w:cstheme="minorHAnsi"/>
          <w:b/>
          <w:bCs/>
          <w:color w:val="auto"/>
          <w:sz w:val="27"/>
          <w:szCs w:val="27"/>
          <w:lang w:val="es-ES"/>
        </w:rPr>
      </w:pPr>
      <w:r w:rsidRPr="00EB6417">
        <w:rPr>
          <w:rFonts w:asciiTheme="minorHAnsi" w:hAnsiTheme="minorHAnsi" w:cstheme="minorHAnsi"/>
          <w:sz w:val="27"/>
          <w:szCs w:val="27"/>
          <w:lang w:val="es-ES"/>
        </w:rPr>
        <w:t xml:space="preserve">Robustece lo anterior el criterio de la Sala Superior del Tribunal Electoral del Poder Judicial de la Federación de rubro: </w:t>
      </w:r>
      <w:r w:rsidRPr="00EB6417">
        <w:rPr>
          <w:rFonts w:asciiTheme="minorHAnsi" w:hAnsiTheme="minorHAnsi" w:cstheme="minorHAnsi"/>
          <w:b/>
          <w:bCs/>
          <w:sz w:val="27"/>
          <w:szCs w:val="27"/>
          <w:lang w:val="es-ES"/>
        </w:rPr>
        <w:t xml:space="preserve">TERCEROS INTERESADOS. LA PUBLICITACIÓN POR </w:t>
      </w:r>
      <w:r w:rsidRPr="00EB6417">
        <w:rPr>
          <w:rStyle w:val="Textoennegrita"/>
          <w:rFonts w:asciiTheme="minorHAnsi" w:hAnsiTheme="minorHAnsi" w:cstheme="minorHAnsi"/>
          <w:color w:val="auto"/>
          <w:sz w:val="27"/>
          <w:szCs w:val="27"/>
          <w:lang w:val="es-ES"/>
        </w:rPr>
        <w:t>ESTRADOS</w:t>
      </w:r>
      <w:r w:rsidRPr="00EB6417">
        <w:rPr>
          <w:rFonts w:asciiTheme="minorHAnsi" w:hAnsiTheme="minorHAnsi" w:cstheme="minorHAnsi"/>
          <w:b/>
          <w:bCs/>
          <w:color w:val="auto"/>
          <w:sz w:val="27"/>
          <w:szCs w:val="27"/>
          <w:lang w:val="es-ES"/>
        </w:rPr>
        <w:t xml:space="preserve"> </w:t>
      </w:r>
      <w:r w:rsidRPr="00EB6417">
        <w:rPr>
          <w:rFonts w:asciiTheme="minorHAnsi" w:hAnsiTheme="minorHAnsi" w:cstheme="minorHAnsi"/>
          <w:b/>
          <w:bCs/>
          <w:sz w:val="27"/>
          <w:szCs w:val="27"/>
          <w:lang w:val="es-ES"/>
        </w:rPr>
        <w:t>ES UN INSTRUMENTO VÁLIDO Y RAZONABLE PARA NOTIFICARLES LA INTERPOSICIÓN DE UN MEDIO DE IMPUGNACIÓN</w:t>
      </w:r>
      <w:r w:rsidRPr="00EB6417">
        <w:rPr>
          <w:rFonts w:asciiTheme="minorHAnsi" w:hAnsiTheme="minorHAnsi" w:cstheme="minorHAnsi"/>
          <w:sz w:val="27"/>
          <w:szCs w:val="27"/>
          <w:lang w:val="es-ES"/>
        </w:rPr>
        <w:t>;</w:t>
      </w:r>
      <w:r w:rsidRPr="00EB6417">
        <w:rPr>
          <w:rStyle w:val="Refdenotaalpie"/>
          <w:rFonts w:asciiTheme="minorHAnsi" w:hAnsiTheme="minorHAnsi" w:cstheme="minorHAnsi"/>
          <w:sz w:val="27"/>
          <w:szCs w:val="27"/>
          <w:lang w:val="es-ES"/>
        </w:rPr>
        <w:footnoteReference w:id="3"/>
      </w:r>
      <w:r w:rsidRPr="00EB6417">
        <w:rPr>
          <w:rFonts w:asciiTheme="minorHAnsi" w:hAnsiTheme="minorHAnsi" w:cstheme="minorHAnsi"/>
          <w:sz w:val="27"/>
          <w:szCs w:val="27"/>
          <w:lang w:val="es-ES"/>
        </w:rPr>
        <w:t xml:space="preserve"> en el cual se establece que </w:t>
      </w:r>
      <w:r w:rsidRPr="00EB6417">
        <w:rPr>
          <w:rFonts w:asciiTheme="minorHAnsi" w:hAnsiTheme="minorHAnsi" w:cstheme="minorHAnsi"/>
          <w:color w:val="auto"/>
          <w:sz w:val="27"/>
          <w:szCs w:val="27"/>
          <w:lang w:val="es-ES"/>
        </w:rPr>
        <w:t xml:space="preserve">los derechos fundamentales de audiencia y del debido proceso imponen a las autoridades la obligación de oír a las partes, lo que implica, entre otros aspectos, brindarles la posibilidad de participar en el proceso jurisdiccional, mediante el conocimiento oportuno de su inicio. En ese sentido, dado que la intervención de los terceros interesados no puede variar la integración de la litis, pues tiene como finalidad que prevalezca el acto o </w:t>
      </w:r>
      <w:r w:rsidRPr="00EB6417">
        <w:rPr>
          <w:rFonts w:asciiTheme="minorHAnsi" w:hAnsiTheme="minorHAnsi" w:cstheme="minorHAnsi"/>
          <w:color w:val="auto"/>
          <w:sz w:val="27"/>
          <w:szCs w:val="27"/>
          <w:lang w:val="es-ES"/>
        </w:rPr>
        <w:lastRenderedPageBreak/>
        <w:t>resolución reclamada, es válido y razonable considerar que la publicitación a través de </w:t>
      </w:r>
      <w:r w:rsidRPr="00EB6417">
        <w:rPr>
          <w:rStyle w:val="Textoennegrita"/>
          <w:rFonts w:asciiTheme="minorHAnsi" w:hAnsiTheme="minorHAnsi" w:cstheme="minorHAnsi"/>
          <w:color w:val="auto"/>
          <w:sz w:val="27"/>
          <w:szCs w:val="27"/>
          <w:lang w:val="es-ES"/>
        </w:rPr>
        <w:t>estrados</w:t>
      </w:r>
      <w:r w:rsidRPr="00EB6417">
        <w:rPr>
          <w:rFonts w:asciiTheme="minorHAnsi" w:hAnsiTheme="minorHAnsi" w:cstheme="minorHAnsi"/>
          <w:color w:val="auto"/>
          <w:sz w:val="27"/>
          <w:szCs w:val="27"/>
          <w:lang w:val="es-ES"/>
        </w:rPr>
        <w:t xml:space="preserve"> como lo establece la legislación procesal electoral, permite que dichos terceros tengan la posibilidad de comparecer y manifestar lo que a su derecho corresponda, por tanto, </w:t>
      </w:r>
      <w:r w:rsidRPr="00CC73B3">
        <w:rPr>
          <w:rFonts w:asciiTheme="minorHAnsi" w:hAnsiTheme="minorHAnsi" w:cstheme="minorHAnsi"/>
          <w:b/>
          <w:bCs/>
          <w:color w:val="auto"/>
          <w:sz w:val="27"/>
          <w:szCs w:val="27"/>
          <w:lang w:val="es-ES"/>
        </w:rPr>
        <w:t>es innecesario que su llamamiento a juicio sea de forma personal o que se realice mediante notificación en un domicilio específico.</w:t>
      </w:r>
    </w:p>
    <w:p w14:paraId="279B5CE2" w14:textId="77777777" w:rsidR="00EB6417" w:rsidRPr="00EB6417" w:rsidRDefault="00EB6417" w:rsidP="00EB6417">
      <w:pPr>
        <w:pStyle w:val="Normal2"/>
        <w:tabs>
          <w:tab w:val="left" w:pos="426"/>
        </w:tabs>
        <w:spacing w:line="360" w:lineRule="auto"/>
        <w:jc w:val="both"/>
        <w:rPr>
          <w:rFonts w:asciiTheme="minorHAnsi" w:hAnsiTheme="minorHAnsi" w:cstheme="minorHAnsi"/>
          <w:color w:val="auto"/>
          <w:sz w:val="27"/>
          <w:szCs w:val="27"/>
          <w:lang w:val="es-ES"/>
        </w:rPr>
      </w:pPr>
    </w:p>
    <w:p w14:paraId="0E47188E" w14:textId="440471D2" w:rsidR="00EB6417" w:rsidRPr="00EB6417" w:rsidRDefault="00EB6417" w:rsidP="00EB6417">
      <w:pPr>
        <w:pStyle w:val="Normal2"/>
        <w:tabs>
          <w:tab w:val="left" w:pos="426"/>
        </w:tabs>
        <w:spacing w:line="360" w:lineRule="auto"/>
        <w:jc w:val="both"/>
        <w:rPr>
          <w:rFonts w:asciiTheme="minorHAnsi" w:hAnsiTheme="minorHAnsi" w:cstheme="minorHAnsi"/>
          <w:color w:val="auto"/>
          <w:sz w:val="27"/>
          <w:szCs w:val="27"/>
          <w:lang w:val="es-ES"/>
        </w:rPr>
      </w:pPr>
      <w:r w:rsidRPr="00EB6417">
        <w:rPr>
          <w:rFonts w:asciiTheme="minorHAnsi" w:hAnsiTheme="minorHAnsi" w:cstheme="minorHAnsi"/>
          <w:color w:val="auto"/>
          <w:sz w:val="27"/>
          <w:szCs w:val="27"/>
          <w:lang w:val="es-ES"/>
        </w:rPr>
        <w:t xml:space="preserve">Sobre esa base, la actuación realizada por el Consejo como autoridad responsable y encargada del trámite de los medios de impugnación y del Tribunal como autoridad que sustancia y resuelve fue conforme a derecho, ya que al publicarse en estrados la notificación a la ciudadanía en general </w:t>
      </w:r>
      <w:r w:rsidR="00CC73B3">
        <w:rPr>
          <w:rFonts w:asciiTheme="minorHAnsi" w:hAnsiTheme="minorHAnsi" w:cstheme="minorHAnsi"/>
          <w:color w:val="auto"/>
          <w:sz w:val="27"/>
          <w:szCs w:val="27"/>
          <w:lang w:val="es-ES"/>
        </w:rPr>
        <w:t>quedaron</w:t>
      </w:r>
      <w:r w:rsidRPr="00EB6417">
        <w:rPr>
          <w:rFonts w:asciiTheme="minorHAnsi" w:hAnsiTheme="minorHAnsi" w:cstheme="minorHAnsi"/>
          <w:color w:val="auto"/>
          <w:sz w:val="27"/>
          <w:szCs w:val="27"/>
          <w:lang w:val="es-ES"/>
        </w:rPr>
        <w:t xml:space="preserve"> salvaguarda</w:t>
      </w:r>
      <w:r w:rsidR="00CC73B3">
        <w:rPr>
          <w:rFonts w:asciiTheme="minorHAnsi" w:hAnsiTheme="minorHAnsi" w:cstheme="minorHAnsi"/>
          <w:color w:val="auto"/>
          <w:sz w:val="27"/>
          <w:szCs w:val="27"/>
          <w:lang w:val="es-ES"/>
        </w:rPr>
        <w:t>dos</w:t>
      </w:r>
      <w:r w:rsidRPr="00EB6417">
        <w:rPr>
          <w:rFonts w:asciiTheme="minorHAnsi" w:hAnsiTheme="minorHAnsi" w:cstheme="minorHAnsi"/>
          <w:color w:val="auto"/>
          <w:sz w:val="27"/>
          <w:szCs w:val="27"/>
          <w:lang w:val="es-ES"/>
        </w:rPr>
        <w:t xml:space="preserve"> los derechos de audiencia de los interesados</w:t>
      </w:r>
      <w:r w:rsidR="00544732">
        <w:rPr>
          <w:rFonts w:asciiTheme="minorHAnsi" w:hAnsiTheme="minorHAnsi" w:cstheme="minorHAnsi"/>
          <w:color w:val="auto"/>
          <w:sz w:val="27"/>
          <w:szCs w:val="27"/>
          <w:lang w:val="es-ES"/>
        </w:rPr>
        <w:t>, en este caso, el del actor</w:t>
      </w:r>
      <w:r w:rsidRPr="00EB6417">
        <w:rPr>
          <w:rFonts w:asciiTheme="minorHAnsi" w:hAnsiTheme="minorHAnsi" w:cstheme="minorHAnsi"/>
          <w:color w:val="auto"/>
          <w:sz w:val="27"/>
          <w:szCs w:val="27"/>
          <w:lang w:val="es-ES"/>
        </w:rPr>
        <w:t xml:space="preserve">. </w:t>
      </w:r>
    </w:p>
    <w:p w14:paraId="59B3BBE2" w14:textId="77777777" w:rsidR="00EB6417" w:rsidRPr="00EB6417" w:rsidRDefault="00EB6417" w:rsidP="00EB6417">
      <w:pPr>
        <w:pStyle w:val="Normal2"/>
        <w:tabs>
          <w:tab w:val="left" w:pos="426"/>
        </w:tabs>
        <w:spacing w:line="360" w:lineRule="auto"/>
        <w:jc w:val="both"/>
        <w:rPr>
          <w:rFonts w:asciiTheme="minorHAnsi" w:hAnsiTheme="minorHAnsi" w:cstheme="minorHAnsi"/>
          <w:sz w:val="27"/>
          <w:szCs w:val="27"/>
          <w:shd w:val="clear" w:color="auto" w:fill="FFFFFF"/>
          <w:lang w:val="es-ES"/>
        </w:rPr>
      </w:pPr>
    </w:p>
    <w:p w14:paraId="4C41DE00" w14:textId="77777777" w:rsidR="00C32669" w:rsidRDefault="00EB6417" w:rsidP="00EB6417">
      <w:pPr>
        <w:pStyle w:val="Normal2"/>
        <w:tabs>
          <w:tab w:val="left" w:pos="426"/>
        </w:tabs>
        <w:spacing w:line="360" w:lineRule="auto"/>
        <w:jc w:val="both"/>
        <w:rPr>
          <w:rFonts w:asciiTheme="minorHAnsi" w:hAnsiTheme="minorHAnsi" w:cstheme="minorHAnsi"/>
          <w:sz w:val="27"/>
          <w:szCs w:val="27"/>
          <w:shd w:val="clear" w:color="auto" w:fill="FFFFFF"/>
          <w:lang w:val="es-ES"/>
        </w:rPr>
      </w:pPr>
      <w:r w:rsidRPr="00EB6417">
        <w:rPr>
          <w:rFonts w:asciiTheme="minorHAnsi" w:hAnsiTheme="minorHAnsi" w:cstheme="minorHAnsi"/>
          <w:sz w:val="27"/>
          <w:szCs w:val="27"/>
          <w:shd w:val="clear" w:color="auto" w:fill="FFFFFF"/>
          <w:lang w:val="es-ES"/>
        </w:rPr>
        <w:t xml:space="preserve">En consecuencia, toda vez </w:t>
      </w:r>
      <w:proofErr w:type="gramStart"/>
      <w:r w:rsidRPr="00EB6417">
        <w:rPr>
          <w:rFonts w:asciiTheme="minorHAnsi" w:hAnsiTheme="minorHAnsi" w:cstheme="minorHAnsi"/>
          <w:sz w:val="27"/>
          <w:szCs w:val="27"/>
          <w:shd w:val="clear" w:color="auto" w:fill="FFFFFF"/>
          <w:lang w:val="es-ES"/>
        </w:rPr>
        <w:t>que</w:t>
      </w:r>
      <w:proofErr w:type="gramEnd"/>
      <w:r w:rsidRPr="00EB6417">
        <w:rPr>
          <w:rFonts w:asciiTheme="minorHAnsi" w:hAnsiTheme="minorHAnsi" w:cstheme="minorHAnsi"/>
          <w:sz w:val="27"/>
          <w:szCs w:val="27"/>
          <w:shd w:val="clear" w:color="auto" w:fill="FFFFFF"/>
          <w:lang w:val="es-ES"/>
        </w:rPr>
        <w:t xml:space="preserve"> en</w:t>
      </w:r>
      <w:r w:rsidR="00B44C8D">
        <w:rPr>
          <w:rFonts w:asciiTheme="minorHAnsi" w:hAnsiTheme="minorHAnsi" w:cstheme="minorHAnsi"/>
          <w:sz w:val="27"/>
          <w:szCs w:val="27"/>
          <w:shd w:val="clear" w:color="auto" w:fill="FFFFFF"/>
          <w:lang w:val="es-ES"/>
        </w:rPr>
        <w:t xml:space="preserve"> los recursos de apelación primigenios, </w:t>
      </w:r>
      <w:r w:rsidRPr="00EB6417">
        <w:rPr>
          <w:rFonts w:asciiTheme="minorHAnsi" w:hAnsiTheme="minorHAnsi" w:cstheme="minorHAnsi"/>
          <w:sz w:val="27"/>
          <w:szCs w:val="27"/>
          <w:shd w:val="clear" w:color="auto" w:fill="FFFFFF"/>
          <w:lang w:val="es-ES"/>
        </w:rPr>
        <w:t>no se privó</w:t>
      </w:r>
      <w:r w:rsidR="00B44C8D">
        <w:rPr>
          <w:rFonts w:asciiTheme="minorHAnsi" w:hAnsiTheme="minorHAnsi" w:cstheme="minorHAnsi"/>
          <w:sz w:val="27"/>
          <w:szCs w:val="27"/>
          <w:shd w:val="clear" w:color="auto" w:fill="FFFFFF"/>
          <w:lang w:val="es-ES"/>
        </w:rPr>
        <w:t xml:space="preserve"> al actor de su derecho de intervenir en los mismos con el carácter de </w:t>
      </w:r>
      <w:r w:rsidRPr="00EB6417">
        <w:rPr>
          <w:rFonts w:asciiTheme="minorHAnsi" w:hAnsiTheme="minorHAnsi" w:cstheme="minorHAnsi"/>
          <w:sz w:val="27"/>
          <w:szCs w:val="27"/>
          <w:shd w:val="clear" w:color="auto" w:fill="FFFFFF"/>
          <w:lang w:val="es-ES"/>
        </w:rPr>
        <w:t>tercero interesado al haberse colmado la</w:t>
      </w:r>
      <w:r w:rsidR="00C32669">
        <w:rPr>
          <w:rFonts w:asciiTheme="minorHAnsi" w:hAnsiTheme="minorHAnsi" w:cstheme="minorHAnsi"/>
          <w:sz w:val="27"/>
          <w:szCs w:val="27"/>
          <w:shd w:val="clear" w:color="auto" w:fill="FFFFFF"/>
          <w:lang w:val="es-ES"/>
        </w:rPr>
        <w:t>s</w:t>
      </w:r>
      <w:r w:rsidRPr="00EB6417">
        <w:rPr>
          <w:rFonts w:asciiTheme="minorHAnsi" w:hAnsiTheme="minorHAnsi" w:cstheme="minorHAnsi"/>
          <w:sz w:val="27"/>
          <w:szCs w:val="27"/>
          <w:shd w:val="clear" w:color="auto" w:fill="FFFFFF"/>
          <w:lang w:val="es-ES"/>
        </w:rPr>
        <w:t xml:space="preserve"> exigencia</w:t>
      </w:r>
      <w:r w:rsidR="00C32669">
        <w:rPr>
          <w:rFonts w:asciiTheme="minorHAnsi" w:hAnsiTheme="minorHAnsi" w:cstheme="minorHAnsi"/>
          <w:sz w:val="27"/>
          <w:szCs w:val="27"/>
          <w:shd w:val="clear" w:color="auto" w:fill="FFFFFF"/>
          <w:lang w:val="es-ES"/>
        </w:rPr>
        <w:t>s de publicidad de los medios de impugnación,</w:t>
      </w:r>
      <w:r w:rsidRPr="00EB6417">
        <w:rPr>
          <w:rFonts w:asciiTheme="minorHAnsi" w:hAnsiTheme="minorHAnsi" w:cstheme="minorHAnsi"/>
          <w:sz w:val="27"/>
          <w:szCs w:val="27"/>
          <w:shd w:val="clear" w:color="auto" w:fill="FFFFFF"/>
          <w:lang w:val="es-ES"/>
        </w:rPr>
        <w:t xml:space="preserve"> prevista</w:t>
      </w:r>
      <w:r w:rsidR="00C32669">
        <w:rPr>
          <w:rFonts w:asciiTheme="minorHAnsi" w:hAnsiTheme="minorHAnsi" w:cstheme="minorHAnsi"/>
          <w:sz w:val="27"/>
          <w:szCs w:val="27"/>
          <w:shd w:val="clear" w:color="auto" w:fill="FFFFFF"/>
          <w:lang w:val="es-ES"/>
        </w:rPr>
        <w:t>s</w:t>
      </w:r>
      <w:r w:rsidRPr="00EB6417">
        <w:rPr>
          <w:rFonts w:asciiTheme="minorHAnsi" w:hAnsiTheme="minorHAnsi" w:cstheme="minorHAnsi"/>
          <w:sz w:val="27"/>
          <w:szCs w:val="27"/>
          <w:shd w:val="clear" w:color="auto" w:fill="FFFFFF"/>
          <w:lang w:val="es-ES"/>
        </w:rPr>
        <w:t xml:space="preserve"> en el </w:t>
      </w:r>
      <w:r w:rsidR="00C32669">
        <w:rPr>
          <w:rFonts w:asciiTheme="minorHAnsi" w:hAnsiTheme="minorHAnsi" w:cstheme="minorHAnsi"/>
          <w:sz w:val="27"/>
          <w:szCs w:val="27"/>
          <w:shd w:val="clear" w:color="auto" w:fill="FFFFFF"/>
          <w:lang w:val="es-ES"/>
        </w:rPr>
        <w:t xml:space="preserve">Código Electoral del Estado de Jalisco, </w:t>
      </w:r>
      <w:r w:rsidRPr="00EB6417">
        <w:rPr>
          <w:rFonts w:asciiTheme="minorHAnsi" w:hAnsiTheme="minorHAnsi" w:cstheme="minorHAnsi"/>
          <w:sz w:val="27"/>
          <w:szCs w:val="27"/>
          <w:shd w:val="clear" w:color="auto" w:fill="FFFFFF"/>
          <w:lang w:val="es-ES"/>
        </w:rPr>
        <w:t xml:space="preserve">el motivo de lesión señalado por el actor resulta infundado. </w:t>
      </w:r>
    </w:p>
    <w:p w14:paraId="7C4345E7" w14:textId="77777777" w:rsidR="00C32669" w:rsidRDefault="00C32669" w:rsidP="00EB6417">
      <w:pPr>
        <w:pStyle w:val="Normal2"/>
        <w:tabs>
          <w:tab w:val="left" w:pos="426"/>
        </w:tabs>
        <w:spacing w:line="360" w:lineRule="auto"/>
        <w:jc w:val="both"/>
        <w:rPr>
          <w:rFonts w:asciiTheme="minorHAnsi" w:hAnsiTheme="minorHAnsi" w:cstheme="minorHAnsi"/>
          <w:sz w:val="27"/>
          <w:szCs w:val="27"/>
          <w:shd w:val="clear" w:color="auto" w:fill="FFFFFF"/>
          <w:lang w:val="es-ES"/>
        </w:rPr>
      </w:pPr>
    </w:p>
    <w:p w14:paraId="6C383A6C" w14:textId="41BFE0F9" w:rsidR="00EB6417" w:rsidRPr="0056761E" w:rsidRDefault="0056761E" w:rsidP="00E94B7B">
      <w:pPr>
        <w:spacing w:after="0" w:line="360" w:lineRule="auto"/>
        <w:jc w:val="both"/>
        <w:rPr>
          <w:rFonts w:cstheme="minorHAnsi"/>
          <w:b/>
          <w:sz w:val="27"/>
          <w:szCs w:val="27"/>
        </w:rPr>
      </w:pPr>
      <w:r w:rsidRPr="0056761E">
        <w:rPr>
          <w:rFonts w:cstheme="minorHAnsi"/>
          <w:b/>
          <w:sz w:val="27"/>
          <w:szCs w:val="27"/>
        </w:rPr>
        <w:t>Agravio 2.</w:t>
      </w:r>
    </w:p>
    <w:p w14:paraId="79268E7D" w14:textId="5735500A" w:rsidR="0056761E" w:rsidRDefault="0056761E" w:rsidP="00E94B7B">
      <w:pPr>
        <w:spacing w:after="0" w:line="360" w:lineRule="auto"/>
        <w:jc w:val="both"/>
        <w:rPr>
          <w:rFonts w:cstheme="minorHAnsi"/>
          <w:bCs/>
          <w:sz w:val="27"/>
          <w:szCs w:val="27"/>
        </w:rPr>
      </w:pPr>
    </w:p>
    <w:p w14:paraId="334C6893" w14:textId="3376B30A" w:rsidR="0056761E" w:rsidRDefault="0056761E" w:rsidP="00E94B7B">
      <w:pPr>
        <w:spacing w:after="0" w:line="360" w:lineRule="auto"/>
        <w:jc w:val="both"/>
        <w:rPr>
          <w:rFonts w:cstheme="minorHAnsi"/>
          <w:bCs/>
          <w:sz w:val="27"/>
          <w:szCs w:val="27"/>
        </w:rPr>
      </w:pPr>
      <w:r>
        <w:rPr>
          <w:rFonts w:cstheme="minorHAnsi"/>
          <w:bCs/>
          <w:sz w:val="27"/>
          <w:szCs w:val="27"/>
        </w:rPr>
        <w:t xml:space="preserve">El actor refiere que la autoridad responsable debió declarar improcedentes los recursos de apelación de donde deriva la resolución impugnada, ya que no se agotó el principio de definitividad, siendo un requisito de procedencia conforme al numeral 603 del Código Electoral del Estado de Jalisco. </w:t>
      </w:r>
    </w:p>
    <w:p w14:paraId="6BBF5515" w14:textId="262FE74A" w:rsidR="0056761E" w:rsidRDefault="0056761E" w:rsidP="00E94B7B">
      <w:pPr>
        <w:spacing w:after="0" w:line="360" w:lineRule="auto"/>
        <w:jc w:val="both"/>
        <w:rPr>
          <w:rFonts w:cstheme="minorHAnsi"/>
          <w:bCs/>
          <w:sz w:val="27"/>
          <w:szCs w:val="27"/>
        </w:rPr>
      </w:pPr>
    </w:p>
    <w:p w14:paraId="16C8C1A6" w14:textId="412C52C5" w:rsidR="0056761E" w:rsidRDefault="0056761E" w:rsidP="00E94B7B">
      <w:pPr>
        <w:spacing w:after="0" w:line="360" w:lineRule="auto"/>
        <w:jc w:val="both"/>
        <w:rPr>
          <w:rFonts w:cstheme="minorHAnsi"/>
          <w:bCs/>
          <w:sz w:val="27"/>
          <w:szCs w:val="27"/>
        </w:rPr>
      </w:pPr>
      <w:r>
        <w:rPr>
          <w:rFonts w:cstheme="minorHAnsi"/>
          <w:bCs/>
          <w:sz w:val="27"/>
          <w:szCs w:val="27"/>
        </w:rPr>
        <w:t xml:space="preserve">Estima lo anterior, puesto que el recurso de revisión de donde emanó la resolución impugnada en las apelaciones, lo interpuso el mismo, y no los actores de las apelaciones, por lo que incumplieron con este requisito. </w:t>
      </w:r>
    </w:p>
    <w:p w14:paraId="5C70382A" w14:textId="582792FA" w:rsidR="0056761E" w:rsidRDefault="0056761E" w:rsidP="00E94B7B">
      <w:pPr>
        <w:spacing w:after="0" w:line="360" w:lineRule="auto"/>
        <w:jc w:val="both"/>
        <w:rPr>
          <w:rFonts w:cstheme="minorHAnsi"/>
          <w:bCs/>
          <w:sz w:val="27"/>
          <w:szCs w:val="27"/>
        </w:rPr>
      </w:pPr>
    </w:p>
    <w:p w14:paraId="013E53FF" w14:textId="27ABCD47" w:rsidR="0056761E" w:rsidRDefault="0056761E" w:rsidP="00E94B7B">
      <w:pPr>
        <w:spacing w:after="0" w:line="360" w:lineRule="auto"/>
        <w:jc w:val="both"/>
        <w:rPr>
          <w:rFonts w:cstheme="minorHAnsi"/>
          <w:bCs/>
          <w:sz w:val="27"/>
          <w:szCs w:val="27"/>
        </w:rPr>
      </w:pPr>
      <w:r>
        <w:rPr>
          <w:rFonts w:cstheme="minorHAnsi"/>
          <w:bCs/>
          <w:sz w:val="27"/>
          <w:szCs w:val="27"/>
        </w:rPr>
        <w:lastRenderedPageBreak/>
        <w:t xml:space="preserve">En este agravio, el actor también se duele de que se le hubiera reconocido legitimación al Ayuntamiento de Tlaquepaque para instar uno de los recursos de apelación, </w:t>
      </w:r>
      <w:proofErr w:type="gramStart"/>
      <w:r>
        <w:rPr>
          <w:rFonts w:cstheme="minorHAnsi"/>
          <w:bCs/>
          <w:sz w:val="27"/>
          <w:szCs w:val="27"/>
        </w:rPr>
        <w:t>ya que</w:t>
      </w:r>
      <w:proofErr w:type="gramEnd"/>
      <w:r>
        <w:rPr>
          <w:rFonts w:cstheme="minorHAnsi"/>
          <w:bCs/>
          <w:sz w:val="27"/>
          <w:szCs w:val="27"/>
        </w:rPr>
        <w:t xml:space="preserve"> al haber estado investido como autoridad responsable en el procedimiento de plebiscito, es claro que con tal carácter, carece de la legitimación necesaria y está impedido por ley para interponer medio de impugnación alguno. </w:t>
      </w:r>
    </w:p>
    <w:p w14:paraId="04EEF417" w14:textId="5E16BAEB" w:rsidR="0056761E" w:rsidRDefault="0056761E" w:rsidP="00E94B7B">
      <w:pPr>
        <w:spacing w:after="0" w:line="360" w:lineRule="auto"/>
        <w:jc w:val="both"/>
        <w:rPr>
          <w:rFonts w:cstheme="minorHAnsi"/>
          <w:bCs/>
          <w:sz w:val="27"/>
          <w:szCs w:val="27"/>
        </w:rPr>
      </w:pPr>
    </w:p>
    <w:p w14:paraId="290DBBCA" w14:textId="610187FF" w:rsidR="0056761E" w:rsidRDefault="0056761E" w:rsidP="00E94B7B">
      <w:pPr>
        <w:spacing w:after="0" w:line="360" w:lineRule="auto"/>
        <w:jc w:val="both"/>
        <w:rPr>
          <w:rFonts w:cstheme="minorHAnsi"/>
          <w:b/>
          <w:sz w:val="27"/>
          <w:szCs w:val="27"/>
        </w:rPr>
      </w:pPr>
      <w:r w:rsidRPr="0056761E">
        <w:rPr>
          <w:rFonts w:cstheme="minorHAnsi"/>
          <w:b/>
          <w:sz w:val="27"/>
          <w:szCs w:val="27"/>
        </w:rPr>
        <w:t>Respuesta</w:t>
      </w:r>
    </w:p>
    <w:p w14:paraId="12CB3C39" w14:textId="19D2107B" w:rsidR="0056761E" w:rsidRDefault="0056761E" w:rsidP="00E94B7B">
      <w:pPr>
        <w:spacing w:after="0" w:line="360" w:lineRule="auto"/>
        <w:jc w:val="both"/>
        <w:rPr>
          <w:rFonts w:cstheme="minorHAnsi"/>
          <w:b/>
          <w:sz w:val="27"/>
          <w:szCs w:val="27"/>
        </w:rPr>
      </w:pPr>
    </w:p>
    <w:p w14:paraId="2ACEF3E2" w14:textId="3F6243F9" w:rsidR="0056761E" w:rsidRPr="0056761E" w:rsidRDefault="0056761E" w:rsidP="00E94B7B">
      <w:pPr>
        <w:spacing w:after="0" w:line="360" w:lineRule="auto"/>
        <w:jc w:val="both"/>
        <w:rPr>
          <w:rFonts w:cstheme="minorHAnsi"/>
          <w:bCs/>
          <w:sz w:val="27"/>
          <w:szCs w:val="27"/>
        </w:rPr>
      </w:pPr>
      <w:r>
        <w:rPr>
          <w:rFonts w:cstheme="minorHAnsi"/>
          <w:bCs/>
          <w:sz w:val="27"/>
          <w:szCs w:val="27"/>
        </w:rPr>
        <w:t xml:space="preserve">El agravio es </w:t>
      </w:r>
      <w:r w:rsidRPr="0056761E">
        <w:rPr>
          <w:rFonts w:cstheme="minorHAnsi"/>
          <w:b/>
          <w:sz w:val="27"/>
          <w:szCs w:val="27"/>
        </w:rPr>
        <w:t>infundado.</w:t>
      </w:r>
      <w:r>
        <w:rPr>
          <w:rFonts w:cstheme="minorHAnsi"/>
          <w:bCs/>
          <w:sz w:val="27"/>
          <w:szCs w:val="27"/>
        </w:rPr>
        <w:t xml:space="preserve"> </w:t>
      </w:r>
    </w:p>
    <w:p w14:paraId="09B2028F" w14:textId="37D68C9C" w:rsidR="00EB6417" w:rsidRDefault="00EB6417" w:rsidP="00E94B7B">
      <w:pPr>
        <w:spacing w:after="0" w:line="360" w:lineRule="auto"/>
        <w:jc w:val="both"/>
        <w:rPr>
          <w:rFonts w:cstheme="minorHAnsi"/>
          <w:b/>
          <w:sz w:val="27"/>
          <w:szCs w:val="27"/>
        </w:rPr>
      </w:pPr>
    </w:p>
    <w:p w14:paraId="3CDD1EC1" w14:textId="07F2FDF7" w:rsidR="0056761E" w:rsidRDefault="0056761E" w:rsidP="00E94B7B">
      <w:pPr>
        <w:spacing w:after="0" w:line="360" w:lineRule="auto"/>
        <w:jc w:val="both"/>
        <w:rPr>
          <w:rFonts w:cstheme="minorHAnsi"/>
          <w:bCs/>
          <w:sz w:val="27"/>
          <w:szCs w:val="27"/>
        </w:rPr>
      </w:pPr>
      <w:r>
        <w:rPr>
          <w:rFonts w:cstheme="minorHAnsi"/>
          <w:bCs/>
          <w:sz w:val="27"/>
          <w:szCs w:val="27"/>
        </w:rPr>
        <w:t xml:space="preserve">En primer lugar, se otorga el calificativo indicado, </w:t>
      </w:r>
      <w:r w:rsidR="000240F6">
        <w:rPr>
          <w:rFonts w:cstheme="minorHAnsi"/>
          <w:bCs/>
          <w:sz w:val="27"/>
          <w:szCs w:val="27"/>
        </w:rPr>
        <w:t xml:space="preserve">toda vez que no le asiste la razón al enjuiciante cuando afirma que se incumplió el principio de definitividad y por tanto los recursos de apelación debieron estimarse improcedentes. </w:t>
      </w:r>
    </w:p>
    <w:p w14:paraId="1005A348" w14:textId="4355BDA0" w:rsidR="000240F6" w:rsidRDefault="000240F6" w:rsidP="00E94B7B">
      <w:pPr>
        <w:spacing w:after="0" w:line="360" w:lineRule="auto"/>
        <w:jc w:val="both"/>
        <w:rPr>
          <w:rFonts w:cstheme="minorHAnsi"/>
          <w:bCs/>
          <w:sz w:val="27"/>
          <w:szCs w:val="27"/>
        </w:rPr>
      </w:pPr>
    </w:p>
    <w:p w14:paraId="07DC3895" w14:textId="77777777" w:rsidR="000240F6" w:rsidRDefault="000240F6" w:rsidP="00E94B7B">
      <w:pPr>
        <w:spacing w:after="0" w:line="360" w:lineRule="auto"/>
        <w:jc w:val="both"/>
        <w:rPr>
          <w:rFonts w:cstheme="minorHAnsi"/>
          <w:bCs/>
          <w:sz w:val="27"/>
          <w:szCs w:val="27"/>
        </w:rPr>
      </w:pPr>
      <w:r>
        <w:rPr>
          <w:rFonts w:cstheme="minorHAnsi"/>
          <w:bCs/>
          <w:sz w:val="27"/>
          <w:szCs w:val="27"/>
        </w:rPr>
        <w:t xml:space="preserve">Si bien es cierto, el artículo 603 de la ley electoral jalisciense establece como un requisito de procedencia del recurso de apelación, el haber agotado previamente todos los recursos administrativos que señala el propio código, también cierto resulta, que el acto impugnado en la apelación lo fue la resolución emitida en el recurso de revisión, por lo </w:t>
      </w:r>
      <w:proofErr w:type="gramStart"/>
      <w:r>
        <w:rPr>
          <w:rFonts w:cstheme="minorHAnsi"/>
          <w:bCs/>
          <w:sz w:val="27"/>
          <w:szCs w:val="27"/>
        </w:rPr>
        <w:t>que</w:t>
      </w:r>
      <w:proofErr w:type="gramEnd"/>
      <w:r>
        <w:rPr>
          <w:rFonts w:cstheme="minorHAnsi"/>
          <w:bCs/>
          <w:sz w:val="27"/>
          <w:szCs w:val="27"/>
        </w:rPr>
        <w:t xml:space="preserve"> en el presente caso, no existía ninguna instancia que agotar en forma previa a la interposición del recurso de apelación. </w:t>
      </w:r>
    </w:p>
    <w:p w14:paraId="34106482" w14:textId="77777777" w:rsidR="000240F6" w:rsidRDefault="000240F6" w:rsidP="00E94B7B">
      <w:pPr>
        <w:spacing w:after="0" w:line="360" w:lineRule="auto"/>
        <w:jc w:val="both"/>
        <w:rPr>
          <w:rFonts w:cstheme="minorHAnsi"/>
          <w:bCs/>
          <w:sz w:val="27"/>
          <w:szCs w:val="27"/>
        </w:rPr>
      </w:pPr>
    </w:p>
    <w:p w14:paraId="360E096A" w14:textId="77777777" w:rsidR="000240F6" w:rsidRDefault="000240F6" w:rsidP="00E94B7B">
      <w:pPr>
        <w:spacing w:after="0" w:line="360" w:lineRule="auto"/>
        <w:jc w:val="both"/>
        <w:rPr>
          <w:rFonts w:cstheme="minorHAnsi"/>
          <w:bCs/>
          <w:sz w:val="27"/>
          <w:szCs w:val="27"/>
        </w:rPr>
      </w:pPr>
      <w:r>
        <w:rPr>
          <w:rFonts w:cstheme="minorHAnsi"/>
          <w:bCs/>
          <w:sz w:val="27"/>
          <w:szCs w:val="27"/>
        </w:rPr>
        <w:t xml:space="preserve">En efecto, la fracción II, del artículo 601 del propio código de Jalisco, establece que procede el recurso de apelación, en contra de las resoluciones que se emitan en el recurso de revisión, en materia de participación ciudadana y popular. </w:t>
      </w:r>
    </w:p>
    <w:p w14:paraId="3B3F717A" w14:textId="77777777" w:rsidR="000240F6" w:rsidRDefault="000240F6" w:rsidP="00E94B7B">
      <w:pPr>
        <w:spacing w:after="0" w:line="360" w:lineRule="auto"/>
        <w:jc w:val="both"/>
        <w:rPr>
          <w:rFonts w:cstheme="minorHAnsi"/>
          <w:bCs/>
          <w:sz w:val="27"/>
          <w:szCs w:val="27"/>
        </w:rPr>
      </w:pPr>
    </w:p>
    <w:p w14:paraId="5C465643" w14:textId="77777777" w:rsidR="000240F6" w:rsidRDefault="000240F6" w:rsidP="00E94B7B">
      <w:pPr>
        <w:spacing w:after="0" w:line="360" w:lineRule="auto"/>
        <w:jc w:val="both"/>
        <w:rPr>
          <w:rFonts w:cstheme="minorHAnsi"/>
          <w:bCs/>
          <w:sz w:val="27"/>
          <w:szCs w:val="27"/>
        </w:rPr>
      </w:pPr>
      <w:r>
        <w:rPr>
          <w:rFonts w:cstheme="minorHAnsi"/>
          <w:bCs/>
          <w:sz w:val="27"/>
          <w:szCs w:val="27"/>
        </w:rPr>
        <w:t xml:space="preserve">Por tanto, es evidente que el recurso de </w:t>
      </w:r>
      <w:proofErr w:type="gramStart"/>
      <w:r>
        <w:rPr>
          <w:rFonts w:cstheme="minorHAnsi"/>
          <w:bCs/>
          <w:sz w:val="27"/>
          <w:szCs w:val="27"/>
        </w:rPr>
        <w:t>apelación,</w:t>
      </w:r>
      <w:proofErr w:type="gramEnd"/>
      <w:r>
        <w:rPr>
          <w:rFonts w:cstheme="minorHAnsi"/>
          <w:bCs/>
          <w:sz w:val="27"/>
          <w:szCs w:val="27"/>
        </w:rPr>
        <w:t xml:space="preserve"> era el medio de impugnación idóneo para combatir la resolución del recurso de revisión, y este procede en forma directa, sin que exista un recurso administrativo o instancia previa que agotar antes de agotar a la apelación. </w:t>
      </w:r>
    </w:p>
    <w:p w14:paraId="657233AC" w14:textId="77777777" w:rsidR="000240F6" w:rsidRDefault="000240F6" w:rsidP="00E94B7B">
      <w:pPr>
        <w:spacing w:after="0" w:line="360" w:lineRule="auto"/>
        <w:jc w:val="both"/>
        <w:rPr>
          <w:rFonts w:cstheme="minorHAnsi"/>
          <w:bCs/>
          <w:sz w:val="27"/>
          <w:szCs w:val="27"/>
        </w:rPr>
      </w:pPr>
    </w:p>
    <w:p w14:paraId="2736D22A" w14:textId="77777777" w:rsidR="00B4024B" w:rsidRDefault="000240F6" w:rsidP="00E94B7B">
      <w:pPr>
        <w:spacing w:after="0" w:line="360" w:lineRule="auto"/>
        <w:jc w:val="both"/>
        <w:rPr>
          <w:rFonts w:cstheme="minorHAnsi"/>
          <w:bCs/>
          <w:sz w:val="27"/>
          <w:szCs w:val="27"/>
        </w:rPr>
      </w:pPr>
      <w:r>
        <w:rPr>
          <w:rFonts w:cstheme="minorHAnsi"/>
          <w:bCs/>
          <w:sz w:val="27"/>
          <w:szCs w:val="27"/>
        </w:rPr>
        <w:lastRenderedPageBreak/>
        <w:t xml:space="preserve">No obsta al anterior razonamiento, el argumento del actor en el que señala </w:t>
      </w:r>
      <w:r w:rsidR="00BD39D8">
        <w:rPr>
          <w:rFonts w:cstheme="minorHAnsi"/>
          <w:bCs/>
          <w:sz w:val="27"/>
          <w:szCs w:val="27"/>
        </w:rPr>
        <w:t>que el recurso de revisión lo presento el mismo, y que por tanto l</w:t>
      </w:r>
      <w:r w:rsidR="00B4024B">
        <w:rPr>
          <w:rFonts w:cstheme="minorHAnsi"/>
          <w:bCs/>
          <w:sz w:val="27"/>
          <w:szCs w:val="27"/>
        </w:rPr>
        <w:t xml:space="preserve">a Universidad de Guadalajara y el Ayuntamiento, no agotaron el recurso de revisión respectivo. </w:t>
      </w:r>
    </w:p>
    <w:p w14:paraId="3952E6DC" w14:textId="77777777" w:rsidR="00B4024B" w:rsidRDefault="00B4024B" w:rsidP="00E94B7B">
      <w:pPr>
        <w:spacing w:after="0" w:line="360" w:lineRule="auto"/>
        <w:jc w:val="both"/>
        <w:rPr>
          <w:rFonts w:cstheme="minorHAnsi"/>
          <w:bCs/>
          <w:sz w:val="27"/>
          <w:szCs w:val="27"/>
        </w:rPr>
      </w:pPr>
    </w:p>
    <w:p w14:paraId="4B586D01" w14:textId="7C5C41DC" w:rsidR="000240F6" w:rsidRPr="0056761E" w:rsidRDefault="00B4024B" w:rsidP="00E94B7B">
      <w:pPr>
        <w:spacing w:after="0" w:line="360" w:lineRule="auto"/>
        <w:jc w:val="both"/>
        <w:rPr>
          <w:rFonts w:cstheme="minorHAnsi"/>
          <w:bCs/>
          <w:sz w:val="27"/>
          <w:szCs w:val="27"/>
        </w:rPr>
      </w:pPr>
      <w:r>
        <w:rPr>
          <w:rFonts w:cstheme="minorHAnsi"/>
          <w:bCs/>
          <w:sz w:val="27"/>
          <w:szCs w:val="27"/>
        </w:rPr>
        <w:t xml:space="preserve">Lo anterior carece de sentido, ya que estimarlo así, llevaría al absurdo de considerar </w:t>
      </w:r>
      <w:proofErr w:type="gramStart"/>
      <w:r>
        <w:rPr>
          <w:rFonts w:cstheme="minorHAnsi"/>
          <w:bCs/>
          <w:sz w:val="27"/>
          <w:szCs w:val="27"/>
        </w:rPr>
        <w:t>que</w:t>
      </w:r>
      <w:proofErr w:type="gramEnd"/>
      <w:r>
        <w:rPr>
          <w:rFonts w:cstheme="minorHAnsi"/>
          <w:bCs/>
          <w:sz w:val="27"/>
          <w:szCs w:val="27"/>
        </w:rPr>
        <w:t xml:space="preserve"> en contra de la resolución del recurso de revisión, debe interponerse necesariamente otro recurso de revisión, con la única finalidad de agotar la instancia y solo posteriormente se podría interponer la apelación. </w:t>
      </w:r>
      <w:r w:rsidR="000240F6">
        <w:rPr>
          <w:rFonts w:cstheme="minorHAnsi"/>
          <w:bCs/>
          <w:sz w:val="27"/>
          <w:szCs w:val="27"/>
        </w:rPr>
        <w:t xml:space="preserve">  </w:t>
      </w:r>
    </w:p>
    <w:p w14:paraId="0FFF7B3E" w14:textId="7A577DF8" w:rsidR="00EB6417" w:rsidRDefault="00EB6417" w:rsidP="00E94B7B">
      <w:pPr>
        <w:spacing w:after="0" w:line="360" w:lineRule="auto"/>
        <w:jc w:val="both"/>
        <w:rPr>
          <w:rFonts w:cstheme="minorHAnsi"/>
          <w:b/>
          <w:sz w:val="27"/>
          <w:szCs w:val="27"/>
        </w:rPr>
      </w:pPr>
    </w:p>
    <w:p w14:paraId="09888669" w14:textId="58AEB0A2" w:rsidR="00B4024B" w:rsidRPr="00B4024B" w:rsidRDefault="00B4024B" w:rsidP="00E94B7B">
      <w:pPr>
        <w:spacing w:after="0" w:line="360" w:lineRule="auto"/>
        <w:jc w:val="both"/>
        <w:rPr>
          <w:rFonts w:cstheme="minorHAnsi"/>
          <w:bCs/>
          <w:sz w:val="27"/>
          <w:szCs w:val="27"/>
        </w:rPr>
      </w:pPr>
      <w:r w:rsidRPr="00B4024B">
        <w:rPr>
          <w:rFonts w:cstheme="minorHAnsi"/>
          <w:bCs/>
          <w:sz w:val="27"/>
          <w:szCs w:val="27"/>
        </w:rPr>
        <w:t xml:space="preserve">Lo cierto es </w:t>
      </w:r>
      <w:proofErr w:type="gramStart"/>
      <w:r w:rsidRPr="00B4024B">
        <w:rPr>
          <w:rFonts w:cstheme="minorHAnsi"/>
          <w:bCs/>
          <w:sz w:val="27"/>
          <w:szCs w:val="27"/>
        </w:rPr>
        <w:t>que</w:t>
      </w:r>
      <w:proofErr w:type="gramEnd"/>
      <w:r w:rsidRPr="00B4024B">
        <w:rPr>
          <w:rFonts w:cstheme="minorHAnsi"/>
          <w:bCs/>
          <w:sz w:val="27"/>
          <w:szCs w:val="27"/>
        </w:rPr>
        <w:t xml:space="preserve"> en contra de una resolución emitida en un recurso de revisión, procede en forma directa la apelación, con independencia de quien hubiera interpuesto el recurso de revisión. </w:t>
      </w:r>
    </w:p>
    <w:p w14:paraId="67BD96F5" w14:textId="77777777" w:rsidR="00B4024B" w:rsidRDefault="00B4024B" w:rsidP="00E94B7B">
      <w:pPr>
        <w:spacing w:after="0" w:line="360" w:lineRule="auto"/>
        <w:jc w:val="both"/>
        <w:rPr>
          <w:rFonts w:cstheme="minorHAnsi"/>
          <w:b/>
          <w:sz w:val="27"/>
          <w:szCs w:val="27"/>
        </w:rPr>
      </w:pPr>
    </w:p>
    <w:p w14:paraId="2EBC93E8" w14:textId="2D63304A" w:rsidR="00B4024B" w:rsidRDefault="009A3870" w:rsidP="00E94B7B">
      <w:pPr>
        <w:spacing w:after="0" w:line="360" w:lineRule="auto"/>
        <w:jc w:val="both"/>
        <w:rPr>
          <w:rFonts w:cstheme="minorHAnsi"/>
          <w:b/>
          <w:sz w:val="27"/>
          <w:szCs w:val="27"/>
        </w:rPr>
      </w:pPr>
      <w:r>
        <w:rPr>
          <w:rFonts w:cstheme="minorHAnsi"/>
          <w:bCs/>
          <w:sz w:val="27"/>
          <w:szCs w:val="27"/>
        </w:rPr>
        <w:t xml:space="preserve">Respecto al segundo argumento del presente agravio, en el que el actor afirma que el Ayuntamiento de Tlaquepaque carece de legitimación para haber interpuesto la apelación, al haber tenido carácter de autoridad responsable en el procedimiento de plebiscito, resulta igualmente </w:t>
      </w:r>
      <w:r>
        <w:rPr>
          <w:rFonts w:cstheme="minorHAnsi"/>
          <w:b/>
          <w:sz w:val="27"/>
          <w:szCs w:val="27"/>
        </w:rPr>
        <w:t xml:space="preserve">infundado. </w:t>
      </w:r>
    </w:p>
    <w:p w14:paraId="51405901" w14:textId="48C66254" w:rsidR="009A3870" w:rsidRDefault="009A3870" w:rsidP="00E94B7B">
      <w:pPr>
        <w:spacing w:after="0" w:line="360" w:lineRule="auto"/>
        <w:jc w:val="both"/>
        <w:rPr>
          <w:rFonts w:cstheme="minorHAnsi"/>
          <w:b/>
          <w:sz w:val="27"/>
          <w:szCs w:val="27"/>
        </w:rPr>
      </w:pPr>
    </w:p>
    <w:p w14:paraId="7DB70DB9" w14:textId="1FE6F15C" w:rsidR="009A3870" w:rsidRDefault="009A3870" w:rsidP="00E94B7B">
      <w:pPr>
        <w:spacing w:after="0" w:line="360" w:lineRule="auto"/>
        <w:jc w:val="both"/>
        <w:rPr>
          <w:rFonts w:cstheme="minorHAnsi"/>
          <w:bCs/>
          <w:sz w:val="27"/>
          <w:szCs w:val="27"/>
        </w:rPr>
      </w:pPr>
      <w:r>
        <w:rPr>
          <w:rFonts w:cstheme="minorHAnsi"/>
          <w:bCs/>
          <w:sz w:val="27"/>
          <w:szCs w:val="27"/>
        </w:rPr>
        <w:t xml:space="preserve">Lo anterior, ya que el actor parte de la premisa errónea de que el Ayuntamiento fue la autoridad responsable que emitió la resolución que fue impugnada mediante el recurso de revisión. </w:t>
      </w:r>
    </w:p>
    <w:p w14:paraId="79C6228C" w14:textId="412843AE" w:rsidR="009A3870" w:rsidRDefault="009A3870" w:rsidP="00E94B7B">
      <w:pPr>
        <w:spacing w:after="0" w:line="360" w:lineRule="auto"/>
        <w:jc w:val="both"/>
        <w:rPr>
          <w:rFonts w:cstheme="minorHAnsi"/>
          <w:bCs/>
          <w:sz w:val="27"/>
          <w:szCs w:val="27"/>
        </w:rPr>
      </w:pPr>
    </w:p>
    <w:p w14:paraId="40B93690" w14:textId="52EF9048" w:rsidR="009A3870" w:rsidRDefault="009A3870" w:rsidP="00E94B7B">
      <w:pPr>
        <w:spacing w:after="0" w:line="360" w:lineRule="auto"/>
        <w:jc w:val="both"/>
        <w:rPr>
          <w:rFonts w:cstheme="minorHAnsi"/>
          <w:bCs/>
          <w:sz w:val="27"/>
          <w:szCs w:val="27"/>
        </w:rPr>
      </w:pPr>
      <w:r>
        <w:rPr>
          <w:rFonts w:cstheme="minorHAnsi"/>
          <w:bCs/>
          <w:sz w:val="27"/>
          <w:szCs w:val="27"/>
        </w:rPr>
        <w:t xml:space="preserve">Sin embargo, no fue así, sino quien emitió la resolución primigenia impugnada, fue el Consejo Municipal de Participación Ciudadana, quien es una autoridad distinta al Ayuntamiento de Tlaquepaque, de ahí que no le asista la razón al actor. </w:t>
      </w:r>
    </w:p>
    <w:p w14:paraId="4B7F0A53" w14:textId="63BBE8C5" w:rsidR="009A3870" w:rsidRDefault="009A3870" w:rsidP="00E94B7B">
      <w:pPr>
        <w:spacing w:after="0" w:line="360" w:lineRule="auto"/>
        <w:jc w:val="both"/>
        <w:rPr>
          <w:rFonts w:cstheme="minorHAnsi"/>
          <w:bCs/>
          <w:sz w:val="27"/>
          <w:szCs w:val="27"/>
        </w:rPr>
      </w:pPr>
    </w:p>
    <w:p w14:paraId="3ADDA682" w14:textId="40265693" w:rsidR="009A3870" w:rsidRPr="009A3870" w:rsidRDefault="009A3870" w:rsidP="00E94B7B">
      <w:pPr>
        <w:spacing w:after="0" w:line="360" w:lineRule="auto"/>
        <w:jc w:val="both"/>
        <w:rPr>
          <w:rFonts w:cstheme="minorHAnsi"/>
          <w:b/>
          <w:sz w:val="27"/>
          <w:szCs w:val="27"/>
        </w:rPr>
      </w:pPr>
      <w:r w:rsidRPr="009A3870">
        <w:rPr>
          <w:rFonts w:cstheme="minorHAnsi"/>
          <w:b/>
          <w:sz w:val="27"/>
          <w:szCs w:val="27"/>
        </w:rPr>
        <w:t xml:space="preserve">Agravio 3. </w:t>
      </w:r>
    </w:p>
    <w:p w14:paraId="117B7865" w14:textId="19D4240A" w:rsidR="009A3870" w:rsidRDefault="009A3870" w:rsidP="00E94B7B">
      <w:pPr>
        <w:spacing w:after="0" w:line="360" w:lineRule="auto"/>
        <w:jc w:val="both"/>
        <w:rPr>
          <w:rFonts w:cstheme="minorHAnsi"/>
          <w:b/>
          <w:sz w:val="27"/>
          <w:szCs w:val="27"/>
        </w:rPr>
      </w:pPr>
    </w:p>
    <w:p w14:paraId="7A7756EA" w14:textId="22A5B61F" w:rsidR="009A3870" w:rsidRPr="005D6197" w:rsidRDefault="00176F8F" w:rsidP="00E94B7B">
      <w:pPr>
        <w:spacing w:after="0" w:line="360" w:lineRule="auto"/>
        <w:jc w:val="both"/>
        <w:rPr>
          <w:rFonts w:cstheme="minorHAnsi"/>
          <w:bCs/>
          <w:sz w:val="27"/>
          <w:szCs w:val="27"/>
        </w:rPr>
      </w:pPr>
      <w:r w:rsidRPr="005D6197">
        <w:rPr>
          <w:rFonts w:cstheme="minorHAnsi"/>
          <w:bCs/>
          <w:sz w:val="27"/>
          <w:szCs w:val="27"/>
        </w:rPr>
        <w:t xml:space="preserve">Se duele de una presunta parcialidad que puede advertirse de la sentencia del Tribunal Electoral, ya que no analiza adecuadamente la </w:t>
      </w:r>
      <w:r w:rsidRPr="005D6197">
        <w:rPr>
          <w:rFonts w:cstheme="minorHAnsi"/>
          <w:bCs/>
          <w:sz w:val="27"/>
          <w:szCs w:val="27"/>
        </w:rPr>
        <w:lastRenderedPageBreak/>
        <w:t xml:space="preserve">materia del plebiscito, </w:t>
      </w:r>
      <w:r w:rsidR="005D6197" w:rsidRPr="005D6197">
        <w:rPr>
          <w:rFonts w:cstheme="minorHAnsi"/>
          <w:bCs/>
          <w:sz w:val="27"/>
          <w:szCs w:val="27"/>
        </w:rPr>
        <w:t xml:space="preserve">sino que se constriñe a analizar los agravios de los recursos de apelación, sin analizar que la materia de la revisión es el derecho fundamental de los habitantes para participar de manera directa en las decisiones públicas, privando al actor de dicho derecho. </w:t>
      </w:r>
    </w:p>
    <w:p w14:paraId="6C551022" w14:textId="03F27F2F" w:rsidR="00176F8F" w:rsidRDefault="00176F8F" w:rsidP="00E94B7B">
      <w:pPr>
        <w:spacing w:after="0" w:line="360" w:lineRule="auto"/>
        <w:jc w:val="both"/>
        <w:rPr>
          <w:rFonts w:cstheme="minorHAnsi"/>
          <w:b/>
          <w:sz w:val="27"/>
          <w:szCs w:val="27"/>
        </w:rPr>
      </w:pPr>
    </w:p>
    <w:p w14:paraId="0905F051" w14:textId="73D40EC0" w:rsidR="005D6197" w:rsidRPr="00B70339" w:rsidRDefault="005D6197" w:rsidP="00E94B7B">
      <w:pPr>
        <w:spacing w:after="0" w:line="360" w:lineRule="auto"/>
        <w:jc w:val="both"/>
        <w:rPr>
          <w:rFonts w:cstheme="minorHAnsi"/>
          <w:bCs/>
          <w:sz w:val="27"/>
          <w:szCs w:val="27"/>
        </w:rPr>
      </w:pPr>
      <w:r w:rsidRPr="00B70339">
        <w:rPr>
          <w:rFonts w:cstheme="minorHAnsi"/>
          <w:bCs/>
          <w:sz w:val="27"/>
          <w:szCs w:val="27"/>
        </w:rPr>
        <w:t xml:space="preserve">Señala que los agravios analizados en la apelación, de ninguna manera desvirtúan la resolución derivada del recurso de revisión, ya que los promoventes realizaron meras manifestaciones carentes de sustento. </w:t>
      </w:r>
    </w:p>
    <w:p w14:paraId="2946DDE7" w14:textId="1EBBAE07" w:rsidR="005D6197" w:rsidRPr="00B70339" w:rsidRDefault="005D6197" w:rsidP="00E94B7B">
      <w:pPr>
        <w:spacing w:after="0" w:line="360" w:lineRule="auto"/>
        <w:jc w:val="both"/>
        <w:rPr>
          <w:rFonts w:cstheme="minorHAnsi"/>
          <w:bCs/>
          <w:sz w:val="27"/>
          <w:szCs w:val="27"/>
        </w:rPr>
      </w:pPr>
    </w:p>
    <w:p w14:paraId="2110047B" w14:textId="012191AC" w:rsidR="005D6197" w:rsidRDefault="005D6197" w:rsidP="00E94B7B">
      <w:pPr>
        <w:spacing w:after="0" w:line="360" w:lineRule="auto"/>
        <w:jc w:val="both"/>
        <w:rPr>
          <w:rFonts w:cstheme="minorHAnsi"/>
          <w:bCs/>
          <w:sz w:val="27"/>
          <w:szCs w:val="27"/>
        </w:rPr>
      </w:pPr>
      <w:r w:rsidRPr="00B70339">
        <w:rPr>
          <w:rFonts w:cstheme="minorHAnsi"/>
          <w:bCs/>
          <w:sz w:val="27"/>
          <w:szCs w:val="27"/>
        </w:rPr>
        <w:t>Manifiesta que dichos agravios, son tendentes a desconocer un derecho humano</w:t>
      </w:r>
      <w:r w:rsidR="00B70339" w:rsidRPr="00B70339">
        <w:rPr>
          <w:rFonts w:cstheme="minorHAnsi"/>
          <w:bCs/>
          <w:sz w:val="27"/>
          <w:szCs w:val="27"/>
        </w:rPr>
        <w:t xml:space="preserve"> que se encuentra debidamente contemplado en la ley, y que además con ello se busca evadir lo que la ley obliga a cumplir. </w:t>
      </w:r>
    </w:p>
    <w:p w14:paraId="7FDE2BFA" w14:textId="676CB7F1" w:rsidR="00B70339" w:rsidRDefault="00B70339" w:rsidP="00E94B7B">
      <w:pPr>
        <w:spacing w:after="0" w:line="360" w:lineRule="auto"/>
        <w:jc w:val="both"/>
        <w:rPr>
          <w:rFonts w:cstheme="minorHAnsi"/>
          <w:bCs/>
          <w:sz w:val="27"/>
          <w:szCs w:val="27"/>
        </w:rPr>
      </w:pPr>
    </w:p>
    <w:p w14:paraId="24593CE8" w14:textId="77777777" w:rsidR="00FC5EA0" w:rsidRDefault="00FC5EA0" w:rsidP="00E94B7B">
      <w:pPr>
        <w:spacing w:after="0" w:line="360" w:lineRule="auto"/>
        <w:jc w:val="both"/>
        <w:rPr>
          <w:rFonts w:cstheme="minorHAnsi"/>
          <w:bCs/>
          <w:sz w:val="27"/>
          <w:szCs w:val="27"/>
        </w:rPr>
      </w:pPr>
      <w:r>
        <w:rPr>
          <w:rFonts w:cstheme="minorHAnsi"/>
          <w:bCs/>
          <w:sz w:val="27"/>
          <w:szCs w:val="27"/>
        </w:rPr>
        <w:t xml:space="preserve">En este mismo agravio, la parte actora sostiene que contrario a lo que afirma la responsable, la solicitud de plebiscito fue presentada en tiempo y forma, resultando ilegales los argumentos de extemporaneidad que manifestó la responsable, ya que la solicitud de plebiscito se presentó el nueve de agosto del año dos mil diecinueve, dentro del término de treinta días posteriores al acto, por lo que la sentencia impugnada, no está debidamente fundada y motivada y no reúne los requisitos de exhaustividad y congruencia, en contravención de los artículos 1, 14, 16 y 17 de la Carta Magna. </w:t>
      </w:r>
    </w:p>
    <w:p w14:paraId="380C2887" w14:textId="77777777" w:rsidR="00FC5EA0" w:rsidRDefault="00FC5EA0" w:rsidP="00E94B7B">
      <w:pPr>
        <w:spacing w:after="0" w:line="360" w:lineRule="auto"/>
        <w:jc w:val="both"/>
        <w:rPr>
          <w:rFonts w:cstheme="minorHAnsi"/>
          <w:bCs/>
          <w:sz w:val="27"/>
          <w:szCs w:val="27"/>
        </w:rPr>
      </w:pPr>
    </w:p>
    <w:p w14:paraId="6420D98B" w14:textId="77777777" w:rsidR="00A97F17" w:rsidRDefault="00A97F17" w:rsidP="00E94B7B">
      <w:pPr>
        <w:spacing w:after="0" w:line="360" w:lineRule="auto"/>
        <w:jc w:val="both"/>
        <w:rPr>
          <w:rFonts w:cstheme="minorHAnsi"/>
          <w:b/>
          <w:sz w:val="27"/>
          <w:szCs w:val="27"/>
        </w:rPr>
      </w:pPr>
      <w:r w:rsidRPr="00A97F17">
        <w:rPr>
          <w:rFonts w:cstheme="minorHAnsi"/>
          <w:b/>
          <w:sz w:val="27"/>
          <w:szCs w:val="27"/>
        </w:rPr>
        <w:t>Agravio 4.</w:t>
      </w:r>
    </w:p>
    <w:p w14:paraId="3C2C0046" w14:textId="77777777" w:rsidR="00A97F17" w:rsidRDefault="00A97F17" w:rsidP="00E94B7B">
      <w:pPr>
        <w:spacing w:after="0" w:line="360" w:lineRule="auto"/>
        <w:jc w:val="both"/>
        <w:rPr>
          <w:rFonts w:cstheme="minorHAnsi"/>
          <w:b/>
          <w:sz w:val="27"/>
          <w:szCs w:val="27"/>
        </w:rPr>
      </w:pPr>
    </w:p>
    <w:p w14:paraId="22882970" w14:textId="5075231F" w:rsidR="00073483" w:rsidRPr="00BB40C7" w:rsidRDefault="00073483" w:rsidP="00E94B7B">
      <w:pPr>
        <w:spacing w:after="0" w:line="360" w:lineRule="auto"/>
        <w:jc w:val="both"/>
        <w:rPr>
          <w:rFonts w:cstheme="minorHAnsi"/>
          <w:bCs/>
          <w:sz w:val="27"/>
          <w:szCs w:val="27"/>
        </w:rPr>
      </w:pPr>
      <w:r w:rsidRPr="00BB40C7">
        <w:rPr>
          <w:rFonts w:cstheme="minorHAnsi"/>
          <w:bCs/>
          <w:sz w:val="27"/>
          <w:szCs w:val="27"/>
        </w:rPr>
        <w:t xml:space="preserve">Manifiesta que el derecho a la educación es ajeno a la materia del plebiscito, pues la materia </w:t>
      </w:r>
      <w:proofErr w:type="gramStart"/>
      <w:r w:rsidRPr="00BB40C7">
        <w:rPr>
          <w:rFonts w:cstheme="minorHAnsi"/>
          <w:bCs/>
          <w:sz w:val="27"/>
          <w:szCs w:val="27"/>
        </w:rPr>
        <w:t>del mismo</w:t>
      </w:r>
      <w:proofErr w:type="gramEnd"/>
      <w:r w:rsidRPr="00BB40C7">
        <w:rPr>
          <w:rFonts w:cstheme="minorHAnsi"/>
          <w:bCs/>
          <w:sz w:val="27"/>
          <w:szCs w:val="27"/>
        </w:rPr>
        <w:t xml:space="preserve"> es la ilegal desincorporación y donación que realizó el Ayuntamiento de Tlaquepaque respecto al Parque Metropolitano Cerro del 4, por lo que resulta ilegal que la responsable sustentara su resolución en una materia ajena al plebiscito. </w:t>
      </w:r>
    </w:p>
    <w:p w14:paraId="12387916" w14:textId="38D14C94" w:rsidR="00073483" w:rsidRPr="00BB40C7" w:rsidRDefault="00073483" w:rsidP="00E94B7B">
      <w:pPr>
        <w:spacing w:after="0" w:line="360" w:lineRule="auto"/>
        <w:jc w:val="both"/>
        <w:rPr>
          <w:rFonts w:cstheme="minorHAnsi"/>
          <w:bCs/>
          <w:sz w:val="27"/>
          <w:szCs w:val="27"/>
        </w:rPr>
      </w:pPr>
    </w:p>
    <w:p w14:paraId="5073AE52" w14:textId="3BEBF2A9" w:rsidR="00073483" w:rsidRPr="00BB40C7" w:rsidRDefault="00073483" w:rsidP="00E94B7B">
      <w:pPr>
        <w:spacing w:after="0" w:line="360" w:lineRule="auto"/>
        <w:jc w:val="both"/>
        <w:rPr>
          <w:rFonts w:cstheme="minorHAnsi"/>
          <w:bCs/>
          <w:sz w:val="27"/>
          <w:szCs w:val="27"/>
        </w:rPr>
      </w:pPr>
      <w:proofErr w:type="gramStart"/>
      <w:r w:rsidRPr="00BB40C7">
        <w:rPr>
          <w:rFonts w:cstheme="minorHAnsi"/>
          <w:bCs/>
          <w:sz w:val="27"/>
          <w:szCs w:val="27"/>
        </w:rPr>
        <w:t>Manifiesta</w:t>
      </w:r>
      <w:proofErr w:type="gramEnd"/>
      <w:r w:rsidRPr="00BB40C7">
        <w:rPr>
          <w:rFonts w:cstheme="minorHAnsi"/>
          <w:bCs/>
          <w:sz w:val="27"/>
          <w:szCs w:val="27"/>
        </w:rPr>
        <w:t xml:space="preserve"> además, que se sometió a plebiscito dicho acto, en razón de que es importante conservar dicha área natural para que exista un medio ambiente sano, debido a los altos niveles de contaminación. </w:t>
      </w:r>
    </w:p>
    <w:p w14:paraId="65C914FC" w14:textId="0FB53D34" w:rsidR="00073483" w:rsidRPr="00BB40C7" w:rsidRDefault="00073483" w:rsidP="00E94B7B">
      <w:pPr>
        <w:spacing w:after="0" w:line="360" w:lineRule="auto"/>
        <w:jc w:val="both"/>
        <w:rPr>
          <w:rFonts w:cstheme="minorHAnsi"/>
          <w:bCs/>
          <w:sz w:val="27"/>
          <w:szCs w:val="27"/>
        </w:rPr>
      </w:pPr>
      <w:r w:rsidRPr="00BB40C7">
        <w:rPr>
          <w:rFonts w:cstheme="minorHAnsi"/>
          <w:bCs/>
          <w:sz w:val="27"/>
          <w:szCs w:val="27"/>
        </w:rPr>
        <w:lastRenderedPageBreak/>
        <w:t>Que el Ayuntamiento de Tlaquepaque indebidamente intervi</w:t>
      </w:r>
      <w:r w:rsidR="00BA27FC">
        <w:rPr>
          <w:rFonts w:cstheme="minorHAnsi"/>
          <w:bCs/>
          <w:sz w:val="27"/>
          <w:szCs w:val="27"/>
        </w:rPr>
        <w:t>e</w:t>
      </w:r>
      <w:r w:rsidRPr="00BB40C7">
        <w:rPr>
          <w:rFonts w:cstheme="minorHAnsi"/>
          <w:bCs/>
          <w:sz w:val="27"/>
          <w:szCs w:val="27"/>
        </w:rPr>
        <w:t>ne en el trámite del plebiscito, en contravención de la Ley del Sistema de Participación Ciudadana y Popular para la Gobernanza del Estado de Jalisco, mediante la interposición de recursos, siendo la misma parte que realiza el mismo acto reclamado que deberá ser sometido a plebiscito, argumentando hechos falsos, ya que la Universidad de Guadalajara es una institución de educación media superior y el Ayuntamiento</w:t>
      </w:r>
      <w:r w:rsidR="004D0FF2" w:rsidRPr="00BB40C7">
        <w:rPr>
          <w:rFonts w:cstheme="minorHAnsi"/>
          <w:bCs/>
          <w:sz w:val="27"/>
          <w:szCs w:val="27"/>
        </w:rPr>
        <w:t xml:space="preserve"> sustentó su argumento como un derecho de las niñas y niños, cuando la educación media superior rebasa esa etapa. </w:t>
      </w:r>
    </w:p>
    <w:p w14:paraId="2281C0C8" w14:textId="66CD7AD1" w:rsidR="004D0FF2" w:rsidRPr="00BB40C7" w:rsidRDefault="004D0FF2" w:rsidP="00E94B7B">
      <w:pPr>
        <w:spacing w:after="0" w:line="360" w:lineRule="auto"/>
        <w:jc w:val="both"/>
        <w:rPr>
          <w:rFonts w:cstheme="minorHAnsi"/>
          <w:bCs/>
          <w:sz w:val="27"/>
          <w:szCs w:val="27"/>
        </w:rPr>
      </w:pPr>
    </w:p>
    <w:p w14:paraId="73ED8CAC" w14:textId="5DA2BEDB" w:rsidR="004D0FF2" w:rsidRPr="00BB40C7" w:rsidRDefault="004D0FF2" w:rsidP="00E94B7B">
      <w:pPr>
        <w:spacing w:after="0" w:line="360" w:lineRule="auto"/>
        <w:jc w:val="both"/>
        <w:rPr>
          <w:rFonts w:cstheme="minorHAnsi"/>
          <w:bCs/>
          <w:sz w:val="27"/>
          <w:szCs w:val="27"/>
        </w:rPr>
      </w:pPr>
      <w:r w:rsidRPr="00BB40C7">
        <w:rPr>
          <w:rFonts w:cstheme="minorHAnsi"/>
          <w:bCs/>
          <w:sz w:val="27"/>
          <w:szCs w:val="27"/>
        </w:rPr>
        <w:t xml:space="preserve">Señala que la solicitud de plebiscito es procedente atendiendo a lo dicho por el propio </w:t>
      </w:r>
      <w:proofErr w:type="gramStart"/>
      <w:r w:rsidRPr="00BB40C7">
        <w:rPr>
          <w:rFonts w:cstheme="minorHAnsi"/>
          <w:bCs/>
          <w:sz w:val="27"/>
          <w:szCs w:val="27"/>
        </w:rPr>
        <w:t>Director</w:t>
      </w:r>
      <w:proofErr w:type="gramEnd"/>
      <w:r w:rsidRPr="00BB40C7">
        <w:rPr>
          <w:rFonts w:cstheme="minorHAnsi"/>
          <w:bCs/>
          <w:sz w:val="27"/>
          <w:szCs w:val="27"/>
        </w:rPr>
        <w:t xml:space="preserve"> del Medio Ambiente del Ayuntamiento de Tlaquepaque, quien indica la existencia de flora y fauna en el área natural del parque, así como la contaminación existente en el municipio. </w:t>
      </w:r>
    </w:p>
    <w:p w14:paraId="4780C2B5" w14:textId="31BA69DA" w:rsidR="004D0FF2" w:rsidRPr="00BB40C7" w:rsidRDefault="004D0FF2" w:rsidP="00E94B7B">
      <w:pPr>
        <w:spacing w:after="0" w:line="360" w:lineRule="auto"/>
        <w:jc w:val="both"/>
        <w:rPr>
          <w:rFonts w:cstheme="minorHAnsi"/>
          <w:bCs/>
          <w:sz w:val="27"/>
          <w:szCs w:val="27"/>
        </w:rPr>
      </w:pPr>
    </w:p>
    <w:p w14:paraId="577BB0B4" w14:textId="64B43C27" w:rsidR="004D0FF2" w:rsidRPr="00BB40C7" w:rsidRDefault="004D0FF2" w:rsidP="00E94B7B">
      <w:pPr>
        <w:spacing w:after="0" w:line="360" w:lineRule="auto"/>
        <w:jc w:val="both"/>
        <w:rPr>
          <w:rFonts w:cstheme="minorHAnsi"/>
          <w:bCs/>
          <w:sz w:val="27"/>
          <w:szCs w:val="27"/>
        </w:rPr>
      </w:pPr>
      <w:r w:rsidRPr="00BB40C7">
        <w:rPr>
          <w:rFonts w:cstheme="minorHAnsi"/>
          <w:bCs/>
          <w:sz w:val="27"/>
          <w:szCs w:val="27"/>
        </w:rPr>
        <w:t xml:space="preserve">En </w:t>
      </w:r>
      <w:proofErr w:type="gramStart"/>
      <w:r w:rsidRPr="00BB40C7">
        <w:rPr>
          <w:rFonts w:cstheme="minorHAnsi"/>
          <w:bCs/>
          <w:sz w:val="27"/>
          <w:szCs w:val="27"/>
        </w:rPr>
        <w:t>conclusión</w:t>
      </w:r>
      <w:proofErr w:type="gramEnd"/>
      <w:r w:rsidRPr="00BB40C7">
        <w:rPr>
          <w:rFonts w:cstheme="minorHAnsi"/>
          <w:bCs/>
          <w:sz w:val="27"/>
          <w:szCs w:val="27"/>
        </w:rPr>
        <w:t xml:space="preserve"> señala que la resolución impugnada, vulnera la protección de la naturaleza y del medio ambiente, ya que se trata de un parque público, un área natural que brinda oxígeno a la población.</w:t>
      </w:r>
    </w:p>
    <w:p w14:paraId="4C62AE43" w14:textId="25EE1E5A" w:rsidR="00073483" w:rsidRDefault="00073483" w:rsidP="00E94B7B">
      <w:pPr>
        <w:spacing w:after="0" w:line="360" w:lineRule="auto"/>
        <w:jc w:val="both"/>
        <w:rPr>
          <w:rFonts w:cstheme="minorHAnsi"/>
          <w:b/>
          <w:sz w:val="27"/>
          <w:szCs w:val="27"/>
        </w:rPr>
      </w:pPr>
    </w:p>
    <w:p w14:paraId="3B0F1EA3" w14:textId="16006B1C" w:rsidR="00B23C5B" w:rsidRDefault="00B23C5B" w:rsidP="00E94B7B">
      <w:pPr>
        <w:spacing w:after="0" w:line="360" w:lineRule="auto"/>
        <w:jc w:val="both"/>
        <w:rPr>
          <w:rFonts w:cstheme="minorHAnsi"/>
          <w:b/>
          <w:sz w:val="27"/>
          <w:szCs w:val="27"/>
        </w:rPr>
      </w:pPr>
      <w:r>
        <w:rPr>
          <w:rFonts w:cstheme="minorHAnsi"/>
          <w:b/>
          <w:sz w:val="27"/>
          <w:szCs w:val="27"/>
        </w:rPr>
        <w:t>Respuesta conjunta de los agravios 3 y 4</w:t>
      </w:r>
    </w:p>
    <w:p w14:paraId="2919D4AF" w14:textId="5F010A4D" w:rsidR="00B23C5B" w:rsidRDefault="00B23C5B" w:rsidP="00E94B7B">
      <w:pPr>
        <w:spacing w:after="0" w:line="360" w:lineRule="auto"/>
        <w:jc w:val="both"/>
        <w:rPr>
          <w:rFonts w:cstheme="minorHAnsi"/>
          <w:b/>
          <w:sz w:val="27"/>
          <w:szCs w:val="27"/>
        </w:rPr>
      </w:pPr>
    </w:p>
    <w:p w14:paraId="3F97242E" w14:textId="1DE5AB18" w:rsidR="00203ED1" w:rsidRPr="003104D3" w:rsidRDefault="00203ED1" w:rsidP="00203ED1">
      <w:pPr>
        <w:pStyle w:val="NormalWeb"/>
        <w:spacing w:before="0" w:beforeAutospacing="0" w:after="0" w:afterAutospacing="0" w:line="360" w:lineRule="auto"/>
        <w:jc w:val="both"/>
        <w:rPr>
          <w:rFonts w:asciiTheme="minorHAnsi" w:hAnsiTheme="minorHAnsi" w:cstheme="minorHAnsi"/>
          <w:bCs/>
          <w:sz w:val="27"/>
          <w:szCs w:val="27"/>
        </w:rPr>
      </w:pPr>
      <w:r w:rsidRPr="003104D3">
        <w:rPr>
          <w:rFonts w:asciiTheme="minorHAnsi" w:hAnsiTheme="minorHAnsi" w:cstheme="minorHAnsi"/>
          <w:bCs/>
          <w:sz w:val="27"/>
          <w:szCs w:val="27"/>
        </w:rPr>
        <w:t>Los agravios</w:t>
      </w:r>
      <w:r>
        <w:rPr>
          <w:rFonts w:asciiTheme="minorHAnsi" w:hAnsiTheme="minorHAnsi" w:cstheme="minorHAnsi"/>
          <w:bCs/>
          <w:sz w:val="27"/>
          <w:szCs w:val="27"/>
        </w:rPr>
        <w:t xml:space="preserve"> 3 y 4, plasmados en la demanda génesis del presente juicio, </w:t>
      </w:r>
      <w:r w:rsidRPr="003104D3">
        <w:rPr>
          <w:rFonts w:asciiTheme="minorHAnsi" w:hAnsiTheme="minorHAnsi" w:cstheme="minorHAnsi"/>
          <w:bCs/>
          <w:sz w:val="27"/>
          <w:szCs w:val="27"/>
        </w:rPr>
        <w:t xml:space="preserve">son </w:t>
      </w:r>
      <w:r w:rsidRPr="003104D3">
        <w:rPr>
          <w:rFonts w:asciiTheme="minorHAnsi" w:hAnsiTheme="minorHAnsi" w:cstheme="minorHAnsi"/>
          <w:b/>
          <w:sz w:val="27"/>
          <w:szCs w:val="27"/>
        </w:rPr>
        <w:t>inoperantes</w:t>
      </w:r>
      <w:r w:rsidRPr="003104D3">
        <w:rPr>
          <w:rFonts w:asciiTheme="minorHAnsi" w:hAnsiTheme="minorHAnsi" w:cstheme="minorHAnsi"/>
          <w:bCs/>
          <w:sz w:val="27"/>
          <w:szCs w:val="27"/>
        </w:rPr>
        <w:t xml:space="preserve">, al no controvertir </w:t>
      </w:r>
      <w:r>
        <w:rPr>
          <w:rFonts w:asciiTheme="minorHAnsi" w:hAnsiTheme="minorHAnsi" w:cstheme="minorHAnsi"/>
          <w:bCs/>
          <w:sz w:val="27"/>
          <w:szCs w:val="27"/>
        </w:rPr>
        <w:t>de</w:t>
      </w:r>
      <w:r w:rsidRPr="003104D3">
        <w:rPr>
          <w:rFonts w:asciiTheme="minorHAnsi" w:hAnsiTheme="minorHAnsi" w:cstheme="minorHAnsi"/>
          <w:bCs/>
          <w:sz w:val="27"/>
          <w:szCs w:val="27"/>
        </w:rPr>
        <w:t xml:space="preserve"> forma </w:t>
      </w:r>
      <w:r>
        <w:rPr>
          <w:rFonts w:asciiTheme="minorHAnsi" w:hAnsiTheme="minorHAnsi" w:cstheme="minorHAnsi"/>
          <w:bCs/>
          <w:sz w:val="27"/>
          <w:szCs w:val="27"/>
        </w:rPr>
        <w:t>concreta y directa</w:t>
      </w:r>
      <w:r w:rsidRPr="003104D3">
        <w:rPr>
          <w:rFonts w:asciiTheme="minorHAnsi" w:hAnsiTheme="minorHAnsi" w:cstheme="minorHAnsi"/>
          <w:bCs/>
          <w:sz w:val="27"/>
          <w:szCs w:val="27"/>
        </w:rPr>
        <w:t xml:space="preserve"> las razones y argumentos expuestos por la autoridad responsable en la sentencia aquí impugnada. </w:t>
      </w:r>
    </w:p>
    <w:p w14:paraId="2453D22D" w14:textId="77777777" w:rsidR="00203ED1" w:rsidRPr="003104D3" w:rsidRDefault="00203ED1" w:rsidP="00203ED1">
      <w:pPr>
        <w:pStyle w:val="NormalWeb"/>
        <w:spacing w:before="0" w:beforeAutospacing="0" w:after="0" w:afterAutospacing="0" w:line="360" w:lineRule="auto"/>
        <w:jc w:val="both"/>
        <w:rPr>
          <w:rFonts w:asciiTheme="minorHAnsi" w:hAnsiTheme="minorHAnsi" w:cstheme="minorHAnsi"/>
          <w:bCs/>
          <w:sz w:val="27"/>
          <w:szCs w:val="27"/>
        </w:rPr>
      </w:pPr>
    </w:p>
    <w:p w14:paraId="3EB2DD8B" w14:textId="577744B5" w:rsidR="00203ED1" w:rsidRPr="003104D3" w:rsidRDefault="00203ED1" w:rsidP="00203ED1">
      <w:pPr>
        <w:pStyle w:val="NormalWeb"/>
        <w:spacing w:before="0" w:beforeAutospacing="0" w:after="0" w:afterAutospacing="0" w:line="360" w:lineRule="auto"/>
        <w:jc w:val="both"/>
        <w:rPr>
          <w:rFonts w:asciiTheme="minorHAnsi" w:hAnsiTheme="minorHAnsi" w:cstheme="minorHAnsi"/>
          <w:bCs/>
          <w:sz w:val="27"/>
          <w:szCs w:val="27"/>
        </w:rPr>
      </w:pPr>
      <w:r w:rsidRPr="003104D3">
        <w:rPr>
          <w:rFonts w:asciiTheme="minorHAnsi" w:hAnsiTheme="minorHAnsi" w:cstheme="minorHAnsi"/>
          <w:bCs/>
          <w:sz w:val="27"/>
          <w:szCs w:val="27"/>
        </w:rPr>
        <w:t>En efecto, del análisis de la resolución recurrida, y al confrontarla con los agravios</w:t>
      </w:r>
      <w:r>
        <w:rPr>
          <w:rFonts w:asciiTheme="minorHAnsi" w:hAnsiTheme="minorHAnsi" w:cstheme="minorHAnsi"/>
          <w:bCs/>
          <w:sz w:val="27"/>
          <w:szCs w:val="27"/>
        </w:rPr>
        <w:t xml:space="preserve"> 3 y 4</w:t>
      </w:r>
      <w:r w:rsidRPr="003104D3">
        <w:rPr>
          <w:rFonts w:asciiTheme="minorHAnsi" w:hAnsiTheme="minorHAnsi" w:cstheme="minorHAnsi"/>
          <w:bCs/>
          <w:sz w:val="27"/>
          <w:szCs w:val="27"/>
        </w:rPr>
        <w:t xml:space="preserve"> que fueron sintetizados en párrafos anteriores, se desprende que los</w:t>
      </w:r>
      <w:r w:rsidRPr="003104D3">
        <w:rPr>
          <w:rFonts w:asciiTheme="minorHAnsi" w:hAnsiTheme="minorHAnsi" w:cstheme="minorHAnsi"/>
          <w:b/>
          <w:sz w:val="27"/>
          <w:szCs w:val="27"/>
        </w:rPr>
        <w:t xml:space="preserve"> </w:t>
      </w:r>
      <w:r w:rsidRPr="003104D3">
        <w:rPr>
          <w:rFonts w:asciiTheme="minorHAnsi" w:hAnsiTheme="minorHAnsi" w:cstheme="minorHAnsi"/>
          <w:bCs/>
          <w:sz w:val="27"/>
          <w:szCs w:val="27"/>
        </w:rPr>
        <w:t>razonamientos que llevaron al tribunal local a fallar en el sentido en como lo hizo, se encuentran intocados, pues el actor no co</w:t>
      </w:r>
      <w:r>
        <w:rPr>
          <w:rFonts w:asciiTheme="minorHAnsi" w:hAnsiTheme="minorHAnsi" w:cstheme="minorHAnsi"/>
          <w:bCs/>
          <w:sz w:val="27"/>
          <w:szCs w:val="27"/>
        </w:rPr>
        <w:t>mbate frontalmente</w:t>
      </w:r>
      <w:r w:rsidRPr="003104D3">
        <w:rPr>
          <w:rFonts w:asciiTheme="minorHAnsi" w:hAnsiTheme="minorHAnsi" w:cstheme="minorHAnsi"/>
          <w:bCs/>
          <w:sz w:val="27"/>
          <w:szCs w:val="27"/>
        </w:rPr>
        <w:t xml:space="preserve"> ninguno de ellos, por lo que debe seguir rigiendo la resolución impugnada. </w:t>
      </w:r>
    </w:p>
    <w:p w14:paraId="6EE9E520" w14:textId="77777777" w:rsidR="00203ED1" w:rsidRPr="003104D3" w:rsidRDefault="00203ED1" w:rsidP="00203ED1">
      <w:pPr>
        <w:pStyle w:val="NormalWeb"/>
        <w:spacing w:before="0" w:beforeAutospacing="0" w:after="0" w:afterAutospacing="0" w:line="360" w:lineRule="auto"/>
        <w:jc w:val="both"/>
        <w:rPr>
          <w:rFonts w:asciiTheme="minorHAnsi" w:hAnsiTheme="minorHAnsi" w:cstheme="minorHAnsi"/>
          <w:bCs/>
          <w:sz w:val="27"/>
          <w:szCs w:val="27"/>
        </w:rPr>
      </w:pPr>
    </w:p>
    <w:p w14:paraId="16F5C3A7" w14:textId="4E811089" w:rsidR="0027397E" w:rsidRDefault="00203ED1" w:rsidP="00203ED1">
      <w:pPr>
        <w:pStyle w:val="NormalWeb"/>
        <w:spacing w:before="0" w:beforeAutospacing="0" w:after="0" w:afterAutospacing="0" w:line="360" w:lineRule="auto"/>
        <w:jc w:val="both"/>
        <w:rPr>
          <w:rFonts w:asciiTheme="minorHAnsi" w:hAnsiTheme="minorHAnsi" w:cstheme="minorHAnsi"/>
          <w:bCs/>
          <w:sz w:val="27"/>
          <w:szCs w:val="27"/>
        </w:rPr>
      </w:pPr>
      <w:r w:rsidRPr="003104D3">
        <w:rPr>
          <w:rFonts w:asciiTheme="minorHAnsi" w:hAnsiTheme="minorHAnsi" w:cstheme="minorHAnsi"/>
          <w:bCs/>
          <w:sz w:val="27"/>
          <w:szCs w:val="27"/>
        </w:rPr>
        <w:lastRenderedPageBreak/>
        <w:t>En este sentido,</w:t>
      </w:r>
      <w:r>
        <w:rPr>
          <w:rFonts w:asciiTheme="minorHAnsi" w:hAnsiTheme="minorHAnsi" w:cstheme="minorHAnsi"/>
          <w:bCs/>
          <w:sz w:val="27"/>
          <w:szCs w:val="27"/>
        </w:rPr>
        <w:t xml:space="preserve"> de la lectura de la resolución impugnada, se advierte que la autoridad responsable revocó la resolución del recurso de revisión</w:t>
      </w:r>
      <w:r w:rsidR="0027397E">
        <w:rPr>
          <w:rFonts w:asciiTheme="minorHAnsi" w:hAnsiTheme="minorHAnsi" w:cstheme="minorHAnsi"/>
          <w:bCs/>
          <w:sz w:val="27"/>
          <w:szCs w:val="27"/>
        </w:rPr>
        <w:t xml:space="preserve">, con base en los siguientes argumentos: </w:t>
      </w:r>
    </w:p>
    <w:p w14:paraId="05C8F032" w14:textId="529676FD" w:rsidR="0027397E" w:rsidRDefault="0027397E" w:rsidP="00203ED1">
      <w:pPr>
        <w:pStyle w:val="NormalWeb"/>
        <w:spacing w:before="0" w:beforeAutospacing="0" w:after="0" w:afterAutospacing="0" w:line="360" w:lineRule="auto"/>
        <w:jc w:val="both"/>
        <w:rPr>
          <w:rFonts w:asciiTheme="minorHAnsi" w:hAnsiTheme="minorHAnsi" w:cstheme="minorHAnsi"/>
          <w:bCs/>
          <w:sz w:val="27"/>
          <w:szCs w:val="27"/>
        </w:rPr>
      </w:pPr>
    </w:p>
    <w:p w14:paraId="715FABC9" w14:textId="69396AB6" w:rsidR="0027397E" w:rsidRPr="00BA0586" w:rsidRDefault="00BA0586"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r>
        <w:rPr>
          <w:rFonts w:asciiTheme="minorHAnsi" w:hAnsiTheme="minorHAnsi" w:cstheme="minorHAnsi"/>
          <w:i/>
          <w:iCs/>
          <w:sz w:val="24"/>
          <w:szCs w:val="24"/>
        </w:rPr>
        <w:t>“</w:t>
      </w:r>
      <w:r w:rsidR="0027397E" w:rsidRPr="00BA0586">
        <w:rPr>
          <w:rFonts w:asciiTheme="minorHAnsi" w:hAnsiTheme="minorHAnsi" w:cstheme="minorHAnsi"/>
          <w:i/>
          <w:iCs/>
          <w:sz w:val="24"/>
          <w:szCs w:val="24"/>
        </w:rPr>
        <w:t xml:space="preserve">Conforme a lo expuesto por la autoridad responsable tanto en su informe circunstanciado como al resolver el recurso de revisión ahora impugnado, se aprecia con meridiana claridad, que se consideró que la solicitud de plebiscito no versó sobre la realización de la consulta que atentara contra derechos humanos o pretendía ser contraria a lo dispuesto al párrafo 2 del artículo 30 de la Ley de Participación, de ahí que el Consejo Municipal de Participación Ciudadana, hizo una interpretación restrictiva del referido dispositivo, revocando por ello la resolución emitida por el mismo. No </w:t>
      </w:r>
      <w:proofErr w:type="gramStart"/>
      <w:r w:rsidR="0027397E" w:rsidRPr="00BA0586">
        <w:rPr>
          <w:rFonts w:asciiTheme="minorHAnsi" w:hAnsiTheme="minorHAnsi" w:cstheme="minorHAnsi"/>
          <w:i/>
          <w:iCs/>
          <w:sz w:val="24"/>
          <w:szCs w:val="24"/>
        </w:rPr>
        <w:t>obstante</w:t>
      </w:r>
      <w:proofErr w:type="gramEnd"/>
      <w:r w:rsidR="0027397E" w:rsidRPr="00BA0586">
        <w:rPr>
          <w:rFonts w:asciiTheme="minorHAnsi" w:hAnsiTheme="minorHAnsi" w:cstheme="minorHAnsi"/>
          <w:i/>
          <w:iCs/>
          <w:sz w:val="24"/>
          <w:szCs w:val="24"/>
        </w:rPr>
        <w:t xml:space="preserve"> lo anterior, este Pleno del Tribunal Electoral considera que la autoridad administrativa electoral, fue omisa en revisar en su integridad lo razonado por el Consejo Municipal responsable al analizar la procedencia del plebiscito IEPC-MPC-PM01/2019, siendo el acto que dio origen a la resolución del recurso de revisión, en el que señaló las acciones llevadas a cabo por dicho ente revisor</w:t>
      </w:r>
      <w:r>
        <w:rPr>
          <w:rFonts w:asciiTheme="minorHAnsi" w:hAnsiTheme="minorHAnsi" w:cstheme="minorHAnsi"/>
          <w:i/>
          <w:iCs/>
          <w:sz w:val="24"/>
          <w:szCs w:val="24"/>
        </w:rPr>
        <w:t>.</w:t>
      </w:r>
    </w:p>
    <w:p w14:paraId="1C6B7AE5" w14:textId="0A84F0BD" w:rsidR="0027397E" w:rsidRPr="00BA0586" w:rsidRDefault="0027397E"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r w:rsidRPr="00BA0586">
        <w:rPr>
          <w:rFonts w:asciiTheme="minorHAnsi" w:hAnsiTheme="minorHAnsi" w:cstheme="minorHAnsi"/>
          <w:i/>
          <w:iCs/>
          <w:sz w:val="24"/>
          <w:szCs w:val="24"/>
        </w:rPr>
        <w:t>…</w:t>
      </w:r>
    </w:p>
    <w:p w14:paraId="29143B88" w14:textId="73FE9BC1" w:rsidR="0027397E" w:rsidRPr="00BA0586" w:rsidRDefault="0027397E"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r w:rsidRPr="00BA0586">
        <w:rPr>
          <w:rFonts w:asciiTheme="minorHAnsi" w:hAnsiTheme="minorHAnsi" w:cstheme="minorHAnsi"/>
          <w:i/>
          <w:iCs/>
          <w:sz w:val="24"/>
          <w:szCs w:val="24"/>
        </w:rPr>
        <w:t>Así, conforme a lo transcrito, se genera certeza para este Órgano Jurisdiccional que la responsable fue omisa en motivar y fundamentar eficientemente su resolución, lo que conlleva a la vulneración al principio de exhaustividad que toda resolución debe contener, en primera al únicamente considerar que no se actualizaban las dos causas de improcedencia previstas en el artículo 34, punto 2 de la ley aplicable, que analizó el Consejo Municipal de Participación Ciudadana, pasando por alto el análisis pormenorizado de la diversa causa de improcedencia prevista en el punto 2 del artículo 30 de la multicitada Ley de Participación.</w:t>
      </w:r>
    </w:p>
    <w:p w14:paraId="09AA3BFE" w14:textId="62CC42EF" w:rsidR="0027397E" w:rsidRPr="00BA0586" w:rsidRDefault="0027397E"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p>
    <w:p w14:paraId="5130A57D" w14:textId="18D82287" w:rsidR="0027397E" w:rsidRPr="00BA0586" w:rsidRDefault="0027397E"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r w:rsidRPr="00BA0586">
        <w:rPr>
          <w:rFonts w:asciiTheme="minorHAnsi" w:hAnsiTheme="minorHAnsi" w:cstheme="minorHAnsi"/>
          <w:i/>
          <w:iCs/>
          <w:sz w:val="24"/>
          <w:szCs w:val="24"/>
        </w:rPr>
        <w:t xml:space="preserve">En efecto, para estar en aptitud de medir los alcances de la referencia prevista en la legislación local respecto a la improcedencia de un mecanismo de participación ciudadana y popular respecto a que no utilización para “disminuir” o “revocar” el reconocimiento o ampliación de derechos humanos, es necesaria la remisión a la obligación de respetar y garantizar los derechos humanos, cobrando relevancia el decreto publicado en el Diario Oficial de la Federación, el diez de junio de dos mil once, en el que se modificó la denominación del capítulo I del título primero de la Constitución Política de los Estados Unidos Mexicanos, reformándose diversos artículos de la misma, sustituyendo en términos generales, la </w:t>
      </w:r>
      <w:r w:rsidRPr="00BA0586">
        <w:rPr>
          <w:rFonts w:asciiTheme="minorHAnsi" w:hAnsiTheme="minorHAnsi" w:cstheme="minorHAnsi"/>
          <w:i/>
          <w:iCs/>
          <w:sz w:val="24"/>
          <w:szCs w:val="24"/>
        </w:rPr>
        <w:lastRenderedPageBreak/>
        <w:t>expresión “garantías individuales” por la de “derechos humanos”. Así, el texto actual del párrafo primero del artículo 1o. de la Constitución es el siguiente: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36B14FA3" w14:textId="4B48FBB4" w:rsidR="00BA0586" w:rsidRPr="00BA0586" w:rsidRDefault="00BA0586"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p>
    <w:p w14:paraId="49ECF9EA" w14:textId="2F543EC3" w:rsidR="00BA0586" w:rsidRPr="00BA0586" w:rsidRDefault="00BA0586"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r w:rsidRPr="00BA0586">
        <w:rPr>
          <w:rFonts w:asciiTheme="minorHAnsi" w:hAnsiTheme="minorHAnsi" w:cstheme="minorHAnsi"/>
          <w:i/>
          <w:iCs/>
          <w:sz w:val="24"/>
          <w:szCs w:val="24"/>
        </w:rPr>
        <w:t>Conforme a la carta magna, los derechos humanos son reconocidos, los cuales no pueden restringirse ni suspenderse, salvo casos de excepción.</w:t>
      </w:r>
    </w:p>
    <w:p w14:paraId="4DF88366" w14:textId="51D5C19C" w:rsidR="00BA0586" w:rsidRPr="00BA0586" w:rsidRDefault="00BA0586"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p>
    <w:p w14:paraId="3339ABFE" w14:textId="2A9231D8" w:rsidR="00BA0586" w:rsidRPr="00BA0586" w:rsidRDefault="00BA0586"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r w:rsidRPr="00BA0586">
        <w:rPr>
          <w:rFonts w:asciiTheme="minorHAnsi" w:hAnsiTheme="minorHAnsi" w:cstheme="minorHAnsi"/>
          <w:i/>
          <w:iCs/>
          <w:sz w:val="24"/>
          <w:szCs w:val="24"/>
        </w:rPr>
        <w:t xml:space="preserve">El derecho a la educación se encuentra previsto el artículo 3 de la Carta Magna, en el que se establece que toda persona tiene derecho a recibir educación, siendo el estado, federación, Ciudad de México y municipios los encargados de impartirla, siendo obligatoria la educación preescolar, primaria y secundaria conforman la educación básica; ésta y la media superior serán obligatorias. Así, el derecho a la </w:t>
      </w:r>
      <w:proofErr w:type="gramStart"/>
      <w:r w:rsidRPr="00BA0586">
        <w:rPr>
          <w:rFonts w:asciiTheme="minorHAnsi" w:hAnsiTheme="minorHAnsi" w:cstheme="minorHAnsi"/>
          <w:i/>
          <w:iCs/>
          <w:sz w:val="24"/>
          <w:szCs w:val="24"/>
        </w:rPr>
        <w:t>educación,</w:t>
      </w:r>
      <w:proofErr w:type="gramEnd"/>
      <w:r w:rsidRPr="00BA0586">
        <w:rPr>
          <w:rFonts w:asciiTheme="minorHAnsi" w:hAnsiTheme="minorHAnsi" w:cstheme="minorHAnsi"/>
          <w:i/>
          <w:iCs/>
          <w:sz w:val="24"/>
          <w:szCs w:val="24"/>
        </w:rPr>
        <w:t xml:space="preserve"> es un derecho fundamental de todos los seres humanos para adquirir conocimientos y alcanzar una vida plena en sociedad, siendo vital para el desarrollo económico, social y cultural de todas las sociedades. Además, el artículo 67 de la Constitución Política establece que “la educación es un derecho y un servicio público que tiene una función social”, suministrado directamente por el Estado o por intermedio de particulares bajo el control y la vigilancia de autoridades gubernamentales. Respecto al derecho a un medio ambiente sano, el mismo se encuentra previsto en el artículo 4o., párrafo quinto, de la Constitución Federal, que señala a la letra señala lo siguiente: “Toda persona tiene derecho a un medio ambiente sano para su desarrollo y bienestar. El Estado garantizará el respeto a este derecho. El daño y deterioro ambiental generará responsabilidad para quien lo provoque en términos de lo dispuesto por la ley”. El marco jurídico aplicable en materia ambiental en México es muy extenso, y en virtud de que se trata de una materia concurrente, con fundamento en el artículo 73, fracción XXIX-G, de la Constitución Política de los Estados Unidos Mexicanos, está compuesto por normativa de carácter</w:t>
      </w:r>
      <w:r>
        <w:rPr>
          <w:rFonts w:asciiTheme="minorHAnsi" w:hAnsiTheme="minorHAnsi" w:cstheme="minorHAnsi"/>
          <w:i/>
          <w:iCs/>
          <w:sz w:val="24"/>
          <w:szCs w:val="24"/>
        </w:rPr>
        <w:t xml:space="preserve"> </w:t>
      </w:r>
      <w:r w:rsidRPr="00BA0586">
        <w:rPr>
          <w:rFonts w:asciiTheme="minorHAnsi" w:hAnsiTheme="minorHAnsi" w:cstheme="minorHAnsi"/>
          <w:i/>
          <w:iCs/>
          <w:sz w:val="24"/>
          <w:szCs w:val="24"/>
        </w:rPr>
        <w:t xml:space="preserve">federal, estatal y municipal. No </w:t>
      </w:r>
      <w:proofErr w:type="gramStart"/>
      <w:r w:rsidRPr="00BA0586">
        <w:rPr>
          <w:rFonts w:asciiTheme="minorHAnsi" w:hAnsiTheme="minorHAnsi" w:cstheme="minorHAnsi"/>
          <w:i/>
          <w:iCs/>
          <w:sz w:val="24"/>
          <w:szCs w:val="24"/>
        </w:rPr>
        <w:t>obstante</w:t>
      </w:r>
      <w:proofErr w:type="gramEnd"/>
      <w:r w:rsidRPr="00BA0586">
        <w:rPr>
          <w:rFonts w:asciiTheme="minorHAnsi" w:hAnsiTheme="minorHAnsi" w:cstheme="minorHAnsi"/>
          <w:i/>
          <w:iCs/>
          <w:sz w:val="24"/>
          <w:szCs w:val="24"/>
        </w:rPr>
        <w:t xml:space="preserve"> lo anterior, existe un instrumento jurídico marco, que es la Ley General del Equilibrio Ecológico y la Protección al Ambiente, que establece la distribución de competencias entre los tres órdenes de gobierno en la </w:t>
      </w:r>
      <w:r w:rsidRPr="00BA0586">
        <w:rPr>
          <w:rFonts w:asciiTheme="minorHAnsi" w:hAnsiTheme="minorHAnsi" w:cstheme="minorHAnsi"/>
          <w:i/>
          <w:iCs/>
          <w:sz w:val="24"/>
          <w:szCs w:val="24"/>
        </w:rPr>
        <w:lastRenderedPageBreak/>
        <w:t xml:space="preserve">materia. Conforme a lo expuesto, resulta evidente que los derechos humanos están garantizados por la Constitución Política de los Estados Unidos Mexicanos, tratados internacionales y de manera sistemática por las diferentes normas secundarias, ello en razón a los diferentes niveles de gobierno que existen en el Estado Mexicano, lo cual se debe tomar en cuenta para aplicarse al caso concreto. Además, no se debe pasar por alto, que el fin del plebiscito como mecanismo de participación ciudadana directa, es que se someten a consideración de la ciudadanía los actos o decisiones materialmente administrativos, no </w:t>
      </w:r>
      <w:proofErr w:type="gramStart"/>
      <w:r w:rsidRPr="00BA0586">
        <w:rPr>
          <w:rFonts w:asciiTheme="minorHAnsi" w:hAnsiTheme="minorHAnsi" w:cstheme="minorHAnsi"/>
          <w:i/>
          <w:iCs/>
          <w:sz w:val="24"/>
          <w:szCs w:val="24"/>
        </w:rPr>
        <w:t>obstante</w:t>
      </w:r>
      <w:proofErr w:type="gramEnd"/>
      <w:r w:rsidRPr="00BA0586">
        <w:rPr>
          <w:rFonts w:asciiTheme="minorHAnsi" w:hAnsiTheme="minorHAnsi" w:cstheme="minorHAnsi"/>
          <w:i/>
          <w:iCs/>
          <w:sz w:val="24"/>
          <w:szCs w:val="24"/>
        </w:rPr>
        <w:t xml:space="preserve"> la propia norma establece las razones por las que no procederá dicho mecanismo, precisamente como en el caso acontece cuando se pretenda someter a la ciudadanía cuestiones de derechos humanos, como lo es el derecho a la educación y a un ambiente sano.</w:t>
      </w:r>
    </w:p>
    <w:p w14:paraId="6BDFE04C" w14:textId="06ACB1E8" w:rsidR="00BA0586" w:rsidRPr="00BA0586" w:rsidRDefault="00BA0586"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p>
    <w:p w14:paraId="53D3B542" w14:textId="618DCC68" w:rsidR="00BA0586" w:rsidRPr="00BA0586" w:rsidRDefault="00BA0586" w:rsidP="005F1552">
      <w:pPr>
        <w:pStyle w:val="NormalWeb"/>
        <w:spacing w:before="0" w:beforeAutospacing="0" w:after="0" w:afterAutospacing="0" w:line="360" w:lineRule="auto"/>
        <w:ind w:left="426" w:right="275"/>
        <w:jc w:val="both"/>
        <w:rPr>
          <w:rFonts w:asciiTheme="minorHAnsi" w:hAnsiTheme="minorHAnsi" w:cstheme="minorHAnsi"/>
          <w:i/>
          <w:iCs/>
          <w:sz w:val="24"/>
          <w:szCs w:val="24"/>
        </w:rPr>
      </w:pPr>
      <w:r w:rsidRPr="00BA0586">
        <w:rPr>
          <w:rFonts w:asciiTheme="minorHAnsi" w:hAnsiTheme="minorHAnsi" w:cstheme="minorHAnsi"/>
          <w:i/>
          <w:iCs/>
          <w:sz w:val="24"/>
          <w:szCs w:val="24"/>
        </w:rPr>
        <w:t>Este Órgano Jurisdiccional considera que en el caso, efectivamente se actualiza la causa de improcedencia que señaló el Consejo Municipal de Participación Ciudadana, ya que el fin de la donación que se pretende someter a plebiscito municipal relacionada es la construcción de un Centro Universitario Multitemático, con el que se atenderá la demanda de educación a nivel superior dentro del Área Metropolitana de Guadalajara, con la incorporación de un centro universitario en el terreno propuesto del Cerro del Cuatro, con lo que se aumentan las oportunidades de acceso a la educación, además derivado de la recopilación</w:t>
      </w:r>
      <w:r w:rsidR="005F1552">
        <w:rPr>
          <w:rFonts w:asciiTheme="minorHAnsi" w:hAnsiTheme="minorHAnsi" w:cstheme="minorHAnsi"/>
          <w:i/>
          <w:iCs/>
          <w:sz w:val="24"/>
          <w:szCs w:val="24"/>
        </w:rPr>
        <w:t xml:space="preserve"> </w:t>
      </w:r>
      <w:r w:rsidRPr="00BA0586">
        <w:rPr>
          <w:rFonts w:asciiTheme="minorHAnsi" w:hAnsiTheme="minorHAnsi" w:cstheme="minorHAnsi"/>
          <w:i/>
          <w:iCs/>
          <w:sz w:val="24"/>
          <w:szCs w:val="24"/>
        </w:rPr>
        <w:t xml:space="preserve">de información recabada por la entonces autoridad resolutora de la solicitud de plebiscito, se aumentaría la economía de la zona, adecuándose al contexto social, lo que conlleva a un medio ambiente sano, demanda, ciencia, tecnología e interculturalidad entre otros. De un análisis exhaustivo y pormenorizado de la información recabada por Consejo Municipal de Participación Ciudadana, la responsable debió arribar a la conclusión que se estaba reconociendo y ampliando el derecho a la educación de un importante sector de la población de San Pedro Tlaquepaque, aunado al acceso a un medio ambiente sano, ya que en las condiciones en que se encuentra esta zona, evidentemente representa un riesgo tanto para la flora como la fauna del lugar, lo que se salvaguarda con el proyecto presentado por la máxima casa de estudios, al ser un lugar </w:t>
      </w:r>
      <w:proofErr w:type="spellStart"/>
      <w:r w:rsidRPr="00BA0586">
        <w:rPr>
          <w:rFonts w:asciiTheme="minorHAnsi" w:hAnsiTheme="minorHAnsi" w:cstheme="minorHAnsi"/>
          <w:i/>
          <w:iCs/>
          <w:sz w:val="24"/>
          <w:szCs w:val="24"/>
        </w:rPr>
        <w:t>autosusentable</w:t>
      </w:r>
      <w:proofErr w:type="spellEnd"/>
      <w:r w:rsidRPr="00BA0586">
        <w:rPr>
          <w:rFonts w:asciiTheme="minorHAnsi" w:hAnsiTheme="minorHAnsi" w:cstheme="minorHAnsi"/>
          <w:i/>
          <w:iCs/>
          <w:sz w:val="24"/>
          <w:szCs w:val="24"/>
        </w:rPr>
        <w:t>.</w:t>
      </w:r>
    </w:p>
    <w:p w14:paraId="25119C21" w14:textId="2F9F7009" w:rsidR="00BA0586" w:rsidRPr="00BA0586" w:rsidRDefault="00BA0586"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p>
    <w:p w14:paraId="1299DF24" w14:textId="55F46F5D" w:rsidR="00BA0586" w:rsidRPr="00BA0586" w:rsidRDefault="00BA0586"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r w:rsidRPr="00BA0586">
        <w:rPr>
          <w:rFonts w:asciiTheme="minorHAnsi" w:hAnsiTheme="minorHAnsi" w:cstheme="minorHAnsi"/>
          <w:i/>
          <w:iCs/>
          <w:sz w:val="24"/>
          <w:szCs w:val="24"/>
        </w:rPr>
        <w:t xml:space="preserve">En efecto, el Consejo General pasa por alto la información recabada por el multicitado Consejo Municipal de Participación Ciudadana, con el que se enaltecen entre otros el derecho a la educación y a un medio ambiente </w:t>
      </w:r>
      <w:r w:rsidRPr="00BA0586">
        <w:rPr>
          <w:rFonts w:asciiTheme="minorHAnsi" w:hAnsiTheme="minorHAnsi" w:cstheme="minorHAnsi"/>
          <w:i/>
          <w:iCs/>
          <w:sz w:val="24"/>
          <w:szCs w:val="24"/>
        </w:rPr>
        <w:lastRenderedPageBreak/>
        <w:t>sano, mismos que son reconocidos a favor de la población Jalisciense y en específico a los habitantes de San Pedro Tlaquepaque, Jalisco, de ahí que se considere que efectivamente de considerar procedente el plebiscito, se está disminuyendo y revocando el reconocimiento hecho tanto por el Ayuntamiento señalado en conjunción con la Universidad de Guadalajara en relación al acceso a los referidos derechos humanos, relacionados directamente como la garantía de niñas, niños y adolescentes para acceder a la educación, precisamente en contravención a lo establecido en el punto 2, del artículo 3 de la Ley del Sistema de Participación.</w:t>
      </w:r>
    </w:p>
    <w:p w14:paraId="1D61277E" w14:textId="3334C50C" w:rsidR="00BA0586" w:rsidRPr="00BA0586" w:rsidRDefault="00BA0586"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p>
    <w:p w14:paraId="1539265F" w14:textId="77777777" w:rsidR="005F1552" w:rsidRDefault="00BA0586"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proofErr w:type="gramStart"/>
      <w:r w:rsidRPr="00BA0586">
        <w:rPr>
          <w:rFonts w:asciiTheme="minorHAnsi" w:hAnsiTheme="minorHAnsi" w:cstheme="minorHAnsi"/>
          <w:i/>
          <w:iCs/>
          <w:sz w:val="24"/>
          <w:szCs w:val="24"/>
        </w:rPr>
        <w:t>Además</w:t>
      </w:r>
      <w:proofErr w:type="gramEnd"/>
      <w:r w:rsidRPr="00BA0586">
        <w:rPr>
          <w:rFonts w:asciiTheme="minorHAnsi" w:hAnsiTheme="minorHAnsi" w:cstheme="minorHAnsi"/>
          <w:i/>
          <w:iCs/>
          <w:sz w:val="24"/>
          <w:szCs w:val="24"/>
        </w:rPr>
        <w:t xml:space="preserve"> no se debió pasar por alto la naturaleza de la Universidad de Guadalajara, como la máxima casa de estudios en el Estado, cuya misión es ser una institución benemérita, pública, laica y autónoma, con compromiso social y vocación internacional; que satisface las necesidades educativas de nivel medio superior y superior con calidad y pertinencia. </w:t>
      </w:r>
    </w:p>
    <w:p w14:paraId="29315B46" w14:textId="77777777" w:rsidR="005F1552" w:rsidRDefault="005F1552"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p>
    <w:p w14:paraId="7EB0C98E" w14:textId="4C81C362" w:rsidR="005F1552" w:rsidRDefault="00BA0586"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r w:rsidRPr="00BA0586">
        <w:rPr>
          <w:rFonts w:asciiTheme="minorHAnsi" w:hAnsiTheme="minorHAnsi" w:cstheme="minorHAnsi"/>
          <w:i/>
          <w:iCs/>
          <w:sz w:val="24"/>
          <w:szCs w:val="24"/>
        </w:rPr>
        <w:t xml:space="preserve">Promueve la investigación científica y tecnológica, así como la vinculación y extensión para incidir en el desarrollo sustentable e incluyente de la sociedad. Es respetuosa de la diversidad cultural, honra los principios humanistas, la equidad, la justicia social, la convivencia democrática y la prosperidad colectiva, por lo que evidentemente tiene un interés superior al adquirir el terreno materia de donación para la construcción de un centro universitario, que resalta el señalado derecho a la educación. </w:t>
      </w:r>
    </w:p>
    <w:p w14:paraId="7E67B510" w14:textId="77777777" w:rsidR="005F1552" w:rsidRDefault="005F1552"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p>
    <w:p w14:paraId="214596AC" w14:textId="77777777" w:rsidR="005F1552" w:rsidRDefault="00BA0586"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r w:rsidRPr="00BA0586">
        <w:rPr>
          <w:rFonts w:asciiTheme="minorHAnsi" w:hAnsiTheme="minorHAnsi" w:cstheme="minorHAnsi"/>
          <w:i/>
          <w:iCs/>
          <w:sz w:val="24"/>
          <w:szCs w:val="24"/>
        </w:rPr>
        <w:t xml:space="preserve">Así mismo, se considera que al momento de resolver la improcedencia de la solicitud de plebiscito, la responsable primigenia atinadamente tomó en consideración la situación actual y real en el Cerro del Cuatro, en donde sobre la base de los diferentes requerimientos e informes recabados, se tuvo certeza de lo beneficioso que sería para el derecho a la educación y al medio ambiente la construcción de un Centro Educativo como el proyectado por la Universidad de Guadalajara, lo cual atiende directamente a los grupos más vulnerables de la población, como son los habitantes de esta área geográfica, precisamente encaminado a la reconstrucción del tejido social. </w:t>
      </w:r>
    </w:p>
    <w:p w14:paraId="1C2594A1" w14:textId="77777777" w:rsidR="005F1552" w:rsidRDefault="005F1552"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p>
    <w:p w14:paraId="789400A3" w14:textId="77777777" w:rsidR="005F1552" w:rsidRDefault="00BA0586"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r w:rsidRPr="00BA0586">
        <w:rPr>
          <w:rFonts w:asciiTheme="minorHAnsi" w:hAnsiTheme="minorHAnsi" w:cstheme="minorHAnsi"/>
          <w:i/>
          <w:iCs/>
          <w:sz w:val="24"/>
          <w:szCs w:val="24"/>
        </w:rPr>
        <w:t xml:space="preserve">Además, se tomaron en cuenta datos duros, como el número de solicitudes para educación media superior por semestre en la Zona Metropolitana de Guadalajara y el porcentaje que corresponde al Municipio de San Pedro </w:t>
      </w:r>
      <w:r w:rsidRPr="00BA0586">
        <w:rPr>
          <w:rFonts w:asciiTheme="minorHAnsi" w:hAnsiTheme="minorHAnsi" w:cstheme="minorHAnsi"/>
          <w:i/>
          <w:iCs/>
          <w:sz w:val="24"/>
          <w:szCs w:val="24"/>
        </w:rPr>
        <w:lastRenderedPageBreak/>
        <w:t xml:space="preserve">Tlaquepaque y de ellas cuántas solicitudes son rechazadas. En consonancia con lo anterior, también se consideró el proyecto presentado que respalda la donación por parte de la Universidad de Guadalajara, en que se resaltó se trataba de un proyecto educativo, siendo un espacio abierto para la enseñanza y convivencia social que por una parte conservara y en otra potencializara condiciones ecológicas de la zona; incidiendo favorablemente en el entorno al satisfacer elementos estratégicos como: a) la reducción de los índices de marginalidad, desigualdad y pobreza; b) mitigación de la huella de carbono al reducir el desplazamiento de población; c) movilidad sustentable con la articulación de los sistemas de transporte público masivos; d) modelo de desarrollo urbano abierto que permita el acceso libre; e) baja ocupación y mayor utilización del suelo; f) restauración ambiental y respeto al ecosistema y g) la rehabilitación y mejoramiento de infraestructuras urbanas. </w:t>
      </w:r>
    </w:p>
    <w:p w14:paraId="72E71858" w14:textId="77777777" w:rsidR="005F1552" w:rsidRDefault="005F1552"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p>
    <w:p w14:paraId="0A7820A6" w14:textId="60E95823" w:rsidR="00BA0586" w:rsidRPr="00BA0586" w:rsidRDefault="00BA0586" w:rsidP="00BA0586">
      <w:pPr>
        <w:pStyle w:val="NormalWeb"/>
        <w:spacing w:before="0" w:beforeAutospacing="0" w:after="0" w:afterAutospacing="0" w:line="360" w:lineRule="auto"/>
        <w:ind w:left="426" w:right="275"/>
        <w:jc w:val="both"/>
        <w:rPr>
          <w:rFonts w:asciiTheme="minorHAnsi" w:hAnsiTheme="minorHAnsi" w:cstheme="minorHAnsi"/>
          <w:i/>
          <w:iCs/>
          <w:sz w:val="24"/>
          <w:szCs w:val="24"/>
        </w:rPr>
      </w:pPr>
      <w:r w:rsidRPr="00BA0586">
        <w:rPr>
          <w:rFonts w:asciiTheme="minorHAnsi" w:hAnsiTheme="minorHAnsi" w:cstheme="minorHAnsi"/>
          <w:i/>
          <w:iCs/>
          <w:sz w:val="24"/>
          <w:szCs w:val="24"/>
        </w:rPr>
        <w:t>En cuanto al derecho a un medio ambiente sano, se resaltó la obtención de información en el sentido de que dentro de la caracterización del Cerro del Cuatro, la existencia de elementos que evidencian procesos erosivos que han provocado la pérdida de cubierta superficial, por disminución de cubierta vegetal y el uso urbano del suelo, así como el depósito de basura y de desechos sólidos; que no existen especies de fauna o flora que se encuentren en alguna categoría de protección especial, amenazadas o en peligro de extinción; que no existe río o arroyo que pertenezca a las subcuencas que conforman la cuenca del Río Santiago a la que pertenece; así como la presencia de altos índices de contaminación que catalogan a la zona como de alta fragilidad, derivada de la presencia de áreas habitacionales y actividades artesanales e industriales, como ladrilleras y bancos de material geológico. Con todo lo anterior, se evidencia la existencia de derechos humanos como son los de educación y medio ambiente sano a favor de este sector de la población en particular y en general para el estado de Jalisco.</w:t>
      </w:r>
    </w:p>
    <w:p w14:paraId="51765FAE" w14:textId="6FA22069" w:rsidR="00BA0586" w:rsidRDefault="00BA0586" w:rsidP="00203ED1">
      <w:pPr>
        <w:pStyle w:val="NormalWeb"/>
        <w:spacing w:before="0" w:beforeAutospacing="0" w:after="0" w:afterAutospacing="0" w:line="360" w:lineRule="auto"/>
        <w:jc w:val="both"/>
        <w:rPr>
          <w:rFonts w:asciiTheme="minorHAnsi" w:hAnsiTheme="minorHAnsi" w:cstheme="minorHAnsi"/>
          <w:bCs/>
          <w:sz w:val="27"/>
          <w:szCs w:val="27"/>
        </w:rPr>
      </w:pPr>
    </w:p>
    <w:p w14:paraId="39C25A79" w14:textId="11BD9FD2" w:rsidR="00BA0586" w:rsidRPr="00DF4C67" w:rsidRDefault="00DF4C67" w:rsidP="00203ED1">
      <w:pPr>
        <w:pStyle w:val="NormalWeb"/>
        <w:spacing w:before="0" w:beforeAutospacing="0" w:after="0" w:afterAutospacing="0" w:line="360" w:lineRule="auto"/>
        <w:jc w:val="both"/>
        <w:rPr>
          <w:rFonts w:asciiTheme="minorHAnsi" w:hAnsiTheme="minorHAnsi" w:cstheme="minorHAnsi"/>
          <w:bCs/>
          <w:sz w:val="27"/>
          <w:szCs w:val="27"/>
        </w:rPr>
      </w:pPr>
      <w:r w:rsidRPr="00DF4C67">
        <w:rPr>
          <w:rFonts w:asciiTheme="minorHAnsi" w:hAnsiTheme="minorHAnsi" w:cstheme="minorHAnsi"/>
          <w:bCs/>
          <w:sz w:val="27"/>
          <w:szCs w:val="27"/>
        </w:rPr>
        <w:t>Como se aprecia,</w:t>
      </w:r>
      <w:r>
        <w:rPr>
          <w:rFonts w:asciiTheme="minorHAnsi" w:hAnsiTheme="minorHAnsi" w:cstheme="minorHAnsi"/>
          <w:bCs/>
          <w:i/>
          <w:iCs/>
          <w:sz w:val="27"/>
          <w:szCs w:val="27"/>
        </w:rPr>
        <w:t xml:space="preserve"> g</w:t>
      </w:r>
      <w:r w:rsidRPr="00DF4C67">
        <w:rPr>
          <w:rFonts w:asciiTheme="minorHAnsi" w:hAnsiTheme="minorHAnsi" w:cstheme="minorHAnsi"/>
          <w:bCs/>
          <w:i/>
          <w:iCs/>
          <w:sz w:val="27"/>
          <w:szCs w:val="27"/>
        </w:rPr>
        <w:t>rosso modo</w:t>
      </w:r>
      <w:r w:rsidR="00926F26" w:rsidRPr="00DF4C67">
        <w:rPr>
          <w:rFonts w:asciiTheme="minorHAnsi" w:hAnsiTheme="minorHAnsi" w:cstheme="minorHAnsi"/>
          <w:bCs/>
          <w:sz w:val="27"/>
          <w:szCs w:val="27"/>
        </w:rPr>
        <w:t xml:space="preserve">, la autoridad responsable </w:t>
      </w:r>
      <w:r w:rsidR="009B5EB1" w:rsidRPr="00DF4C67">
        <w:rPr>
          <w:rFonts w:asciiTheme="minorHAnsi" w:hAnsiTheme="minorHAnsi" w:cstheme="minorHAnsi"/>
          <w:bCs/>
          <w:sz w:val="27"/>
          <w:szCs w:val="27"/>
        </w:rPr>
        <w:t>para revocar la resolución primigenia impugnada consideró</w:t>
      </w:r>
      <w:r>
        <w:rPr>
          <w:rFonts w:asciiTheme="minorHAnsi" w:hAnsiTheme="minorHAnsi" w:cstheme="minorHAnsi"/>
          <w:bCs/>
          <w:sz w:val="27"/>
          <w:szCs w:val="27"/>
        </w:rPr>
        <w:t xml:space="preserve"> los siguientes puntos</w:t>
      </w:r>
      <w:r w:rsidR="009B5EB1" w:rsidRPr="00DF4C67">
        <w:rPr>
          <w:rFonts w:asciiTheme="minorHAnsi" w:hAnsiTheme="minorHAnsi" w:cstheme="minorHAnsi"/>
          <w:bCs/>
          <w:sz w:val="27"/>
          <w:szCs w:val="27"/>
        </w:rPr>
        <w:t>:</w:t>
      </w:r>
    </w:p>
    <w:p w14:paraId="3DDA5676" w14:textId="7C33CCB2" w:rsidR="009B5EB1" w:rsidRPr="00DF4C67" w:rsidRDefault="009B5EB1" w:rsidP="00203ED1">
      <w:pPr>
        <w:pStyle w:val="NormalWeb"/>
        <w:spacing w:before="0" w:beforeAutospacing="0" w:after="0" w:afterAutospacing="0" w:line="360" w:lineRule="auto"/>
        <w:jc w:val="both"/>
        <w:rPr>
          <w:rFonts w:asciiTheme="minorHAnsi" w:hAnsiTheme="minorHAnsi" w:cstheme="minorHAnsi"/>
          <w:bCs/>
          <w:sz w:val="27"/>
          <w:szCs w:val="27"/>
        </w:rPr>
      </w:pPr>
    </w:p>
    <w:p w14:paraId="0C292C3B" w14:textId="4A4ADDCE" w:rsidR="00BA0586" w:rsidRPr="00DF4C67" w:rsidRDefault="009B5EB1" w:rsidP="00203ED1">
      <w:pPr>
        <w:pStyle w:val="NormalWeb"/>
        <w:spacing w:before="0" w:beforeAutospacing="0" w:after="0" w:afterAutospacing="0" w:line="360" w:lineRule="auto"/>
        <w:jc w:val="both"/>
        <w:rPr>
          <w:rFonts w:asciiTheme="minorHAnsi" w:hAnsiTheme="minorHAnsi" w:cstheme="minorHAnsi"/>
          <w:sz w:val="27"/>
          <w:szCs w:val="27"/>
        </w:rPr>
      </w:pPr>
      <w:r w:rsidRPr="00DF4C67">
        <w:rPr>
          <w:rFonts w:asciiTheme="minorHAnsi" w:hAnsiTheme="minorHAnsi" w:cstheme="minorHAnsi"/>
          <w:sz w:val="27"/>
          <w:szCs w:val="27"/>
        </w:rPr>
        <w:t>- Q</w:t>
      </w:r>
      <w:r w:rsidR="00BA0586" w:rsidRPr="00DF4C67">
        <w:rPr>
          <w:rFonts w:asciiTheme="minorHAnsi" w:hAnsiTheme="minorHAnsi" w:cstheme="minorHAnsi"/>
          <w:sz w:val="27"/>
          <w:szCs w:val="27"/>
        </w:rPr>
        <w:t xml:space="preserve">ue </w:t>
      </w:r>
      <w:r w:rsidRPr="00DF4C67">
        <w:rPr>
          <w:rFonts w:asciiTheme="minorHAnsi" w:hAnsiTheme="minorHAnsi" w:cstheme="minorHAnsi"/>
          <w:sz w:val="27"/>
          <w:szCs w:val="27"/>
        </w:rPr>
        <w:t>el Instituto Electoral del Estado</w:t>
      </w:r>
      <w:r w:rsidR="00BA0586" w:rsidRPr="00DF4C67">
        <w:rPr>
          <w:rFonts w:asciiTheme="minorHAnsi" w:hAnsiTheme="minorHAnsi" w:cstheme="minorHAnsi"/>
          <w:sz w:val="27"/>
          <w:szCs w:val="27"/>
        </w:rPr>
        <w:t>, fue omis</w:t>
      </w:r>
      <w:r w:rsidRPr="00DF4C67">
        <w:rPr>
          <w:rFonts w:asciiTheme="minorHAnsi" w:hAnsiTheme="minorHAnsi" w:cstheme="minorHAnsi"/>
          <w:sz w:val="27"/>
          <w:szCs w:val="27"/>
        </w:rPr>
        <w:t>o</w:t>
      </w:r>
      <w:r w:rsidR="00BA0586" w:rsidRPr="00DF4C67">
        <w:rPr>
          <w:rFonts w:asciiTheme="minorHAnsi" w:hAnsiTheme="minorHAnsi" w:cstheme="minorHAnsi"/>
          <w:sz w:val="27"/>
          <w:szCs w:val="27"/>
        </w:rPr>
        <w:t xml:space="preserve"> en revisar en su integridad lo razonado por el Consejo Municipal al analizar la procedencia del plebiscito IEPC-MPC-PM01/2019</w:t>
      </w:r>
      <w:r w:rsidRPr="00DF4C67">
        <w:rPr>
          <w:rFonts w:asciiTheme="minorHAnsi" w:hAnsiTheme="minorHAnsi" w:cstheme="minorHAnsi"/>
          <w:sz w:val="27"/>
          <w:szCs w:val="27"/>
        </w:rPr>
        <w:t>.</w:t>
      </w:r>
    </w:p>
    <w:p w14:paraId="0F4FBF5B" w14:textId="0C9AFE65" w:rsidR="00BA0586" w:rsidRPr="00DF4C67" w:rsidRDefault="00DF4C67" w:rsidP="00DF4C67">
      <w:pPr>
        <w:pStyle w:val="NormalWeb"/>
        <w:spacing w:before="0" w:beforeAutospacing="0" w:after="0" w:afterAutospacing="0" w:line="360" w:lineRule="auto"/>
        <w:ind w:right="275"/>
        <w:jc w:val="both"/>
        <w:rPr>
          <w:rFonts w:asciiTheme="minorHAnsi" w:hAnsiTheme="minorHAnsi" w:cstheme="minorHAnsi"/>
          <w:sz w:val="27"/>
          <w:szCs w:val="27"/>
        </w:rPr>
      </w:pPr>
      <w:r>
        <w:rPr>
          <w:rFonts w:asciiTheme="minorHAnsi" w:hAnsiTheme="minorHAnsi" w:cstheme="minorHAnsi"/>
          <w:sz w:val="27"/>
          <w:szCs w:val="27"/>
        </w:rPr>
        <w:lastRenderedPageBreak/>
        <w:t xml:space="preserve">- </w:t>
      </w:r>
      <w:r w:rsidR="009B5EB1" w:rsidRPr="00DF4C67">
        <w:rPr>
          <w:rFonts w:asciiTheme="minorHAnsi" w:hAnsiTheme="minorHAnsi" w:cstheme="minorHAnsi"/>
          <w:sz w:val="27"/>
          <w:szCs w:val="27"/>
        </w:rPr>
        <w:t xml:space="preserve">Que el referido Consejo, igualmente </w:t>
      </w:r>
      <w:r w:rsidR="00BA0586" w:rsidRPr="00DF4C67">
        <w:rPr>
          <w:rFonts w:asciiTheme="minorHAnsi" w:hAnsiTheme="minorHAnsi" w:cstheme="minorHAnsi"/>
          <w:sz w:val="27"/>
          <w:szCs w:val="27"/>
        </w:rPr>
        <w:t>fue omi</w:t>
      </w:r>
      <w:r w:rsidR="009B5EB1" w:rsidRPr="00DF4C67">
        <w:rPr>
          <w:rFonts w:asciiTheme="minorHAnsi" w:hAnsiTheme="minorHAnsi" w:cstheme="minorHAnsi"/>
          <w:sz w:val="27"/>
          <w:szCs w:val="27"/>
        </w:rPr>
        <w:t>so</w:t>
      </w:r>
      <w:r w:rsidR="00BA0586" w:rsidRPr="00DF4C67">
        <w:rPr>
          <w:rFonts w:asciiTheme="minorHAnsi" w:hAnsiTheme="minorHAnsi" w:cstheme="minorHAnsi"/>
          <w:sz w:val="27"/>
          <w:szCs w:val="27"/>
        </w:rPr>
        <w:t xml:space="preserve"> en motivar y fundamentar eficientemente su resolución, lo que vulner</w:t>
      </w:r>
      <w:r w:rsidR="009B5EB1" w:rsidRPr="00DF4C67">
        <w:rPr>
          <w:rFonts w:asciiTheme="minorHAnsi" w:hAnsiTheme="minorHAnsi" w:cstheme="minorHAnsi"/>
          <w:sz w:val="27"/>
          <w:szCs w:val="27"/>
        </w:rPr>
        <w:t>ó</w:t>
      </w:r>
      <w:r w:rsidR="00BA0586" w:rsidRPr="00DF4C67">
        <w:rPr>
          <w:rFonts w:asciiTheme="minorHAnsi" w:hAnsiTheme="minorHAnsi" w:cstheme="minorHAnsi"/>
          <w:sz w:val="27"/>
          <w:szCs w:val="27"/>
        </w:rPr>
        <w:t xml:space="preserve"> </w:t>
      </w:r>
      <w:r w:rsidR="009B5EB1" w:rsidRPr="00DF4C67">
        <w:rPr>
          <w:rFonts w:asciiTheme="minorHAnsi" w:hAnsiTheme="minorHAnsi" w:cstheme="minorHAnsi"/>
          <w:sz w:val="27"/>
          <w:szCs w:val="27"/>
        </w:rPr>
        <w:t>e</w:t>
      </w:r>
      <w:r w:rsidR="00BA0586" w:rsidRPr="00DF4C67">
        <w:rPr>
          <w:rFonts w:asciiTheme="minorHAnsi" w:hAnsiTheme="minorHAnsi" w:cstheme="minorHAnsi"/>
          <w:sz w:val="27"/>
          <w:szCs w:val="27"/>
        </w:rPr>
        <w:t>l principio de exhaustividad</w:t>
      </w:r>
      <w:r w:rsidR="009B5EB1" w:rsidRPr="00DF4C67">
        <w:rPr>
          <w:rFonts w:asciiTheme="minorHAnsi" w:hAnsiTheme="minorHAnsi" w:cstheme="minorHAnsi"/>
          <w:sz w:val="27"/>
          <w:szCs w:val="27"/>
        </w:rPr>
        <w:t>,</w:t>
      </w:r>
      <w:r w:rsidR="00BA0586" w:rsidRPr="00DF4C67">
        <w:rPr>
          <w:rFonts w:asciiTheme="minorHAnsi" w:hAnsiTheme="minorHAnsi" w:cstheme="minorHAnsi"/>
          <w:sz w:val="27"/>
          <w:szCs w:val="27"/>
        </w:rPr>
        <w:t xml:space="preserve"> al únicamente considerar que no se actualizaban las dos causas de improcedencia previstas en el artículo 34, punto 2 de la ley aplicable, pasando por alto el análisis pormenorizado de la diversa causa de improcedencia prevista en el punto 2 del artículo 30 de la multicitada Ley de Participación.</w:t>
      </w:r>
    </w:p>
    <w:p w14:paraId="0B167F14" w14:textId="1FA826B0" w:rsidR="00203ED1" w:rsidRPr="00DF4C67" w:rsidRDefault="00203ED1" w:rsidP="00203ED1">
      <w:pPr>
        <w:pStyle w:val="NormalWeb"/>
        <w:spacing w:before="0" w:beforeAutospacing="0" w:after="0" w:afterAutospacing="0" w:line="360" w:lineRule="auto"/>
        <w:jc w:val="both"/>
        <w:rPr>
          <w:rFonts w:asciiTheme="minorHAnsi" w:hAnsiTheme="minorHAnsi" w:cstheme="minorHAnsi"/>
          <w:bCs/>
          <w:sz w:val="27"/>
          <w:szCs w:val="27"/>
        </w:rPr>
      </w:pPr>
    </w:p>
    <w:p w14:paraId="75203EE8" w14:textId="7124F24D" w:rsidR="005F1552" w:rsidRPr="00DF4C67" w:rsidRDefault="00DF4C67" w:rsidP="00DF4C67">
      <w:pPr>
        <w:pStyle w:val="NormalWeb"/>
        <w:spacing w:before="0" w:beforeAutospacing="0" w:after="0" w:afterAutospacing="0" w:line="360" w:lineRule="auto"/>
        <w:ind w:right="275"/>
        <w:jc w:val="both"/>
        <w:rPr>
          <w:rFonts w:asciiTheme="minorHAnsi" w:hAnsiTheme="minorHAnsi" w:cstheme="minorHAnsi"/>
          <w:sz w:val="27"/>
          <w:szCs w:val="27"/>
        </w:rPr>
      </w:pPr>
      <w:r w:rsidRPr="00DF4C67">
        <w:rPr>
          <w:rFonts w:asciiTheme="minorHAnsi" w:hAnsiTheme="minorHAnsi" w:cstheme="minorHAnsi"/>
          <w:sz w:val="27"/>
          <w:szCs w:val="27"/>
        </w:rPr>
        <w:t xml:space="preserve">- Que </w:t>
      </w:r>
      <w:r w:rsidR="005F1552" w:rsidRPr="00DF4C67">
        <w:rPr>
          <w:rFonts w:asciiTheme="minorHAnsi" w:hAnsiTheme="minorHAnsi" w:cstheme="minorHAnsi"/>
          <w:sz w:val="27"/>
          <w:szCs w:val="27"/>
        </w:rPr>
        <w:t xml:space="preserve">el fin del plebiscito como mecanismo de participación ciudadana directa, es que se someten a consideración de la ciudadanía los actos o decisiones materialmente administrativos, no </w:t>
      </w:r>
      <w:proofErr w:type="gramStart"/>
      <w:r w:rsidR="005F1552" w:rsidRPr="00DF4C67">
        <w:rPr>
          <w:rFonts w:asciiTheme="minorHAnsi" w:hAnsiTheme="minorHAnsi" w:cstheme="minorHAnsi"/>
          <w:sz w:val="27"/>
          <w:szCs w:val="27"/>
        </w:rPr>
        <w:t>obstante</w:t>
      </w:r>
      <w:proofErr w:type="gramEnd"/>
      <w:r w:rsidR="005F1552" w:rsidRPr="00DF4C67">
        <w:rPr>
          <w:rFonts w:asciiTheme="minorHAnsi" w:hAnsiTheme="minorHAnsi" w:cstheme="minorHAnsi"/>
          <w:sz w:val="27"/>
          <w:szCs w:val="27"/>
        </w:rPr>
        <w:t xml:space="preserve"> la propia norma establece las razones por las que no procederá dicho mecanismo, cuando se pretenda someter a la</w:t>
      </w:r>
      <w:r w:rsidR="00ED4279">
        <w:rPr>
          <w:rFonts w:asciiTheme="minorHAnsi" w:hAnsiTheme="minorHAnsi" w:cstheme="minorHAnsi"/>
          <w:sz w:val="27"/>
          <w:szCs w:val="27"/>
        </w:rPr>
        <w:t xml:space="preserve"> opinión de la</w:t>
      </w:r>
      <w:r w:rsidR="005F1552" w:rsidRPr="00DF4C67">
        <w:rPr>
          <w:rFonts w:asciiTheme="minorHAnsi" w:hAnsiTheme="minorHAnsi" w:cstheme="minorHAnsi"/>
          <w:sz w:val="27"/>
          <w:szCs w:val="27"/>
        </w:rPr>
        <w:t xml:space="preserve"> ciudadanía cuestiones de derechos humanos, como lo es el derecho a la educación y a un ambiente sano</w:t>
      </w:r>
      <w:r w:rsidRPr="00DF4C67">
        <w:rPr>
          <w:rFonts w:asciiTheme="minorHAnsi" w:hAnsiTheme="minorHAnsi" w:cstheme="minorHAnsi"/>
          <w:sz w:val="27"/>
          <w:szCs w:val="27"/>
        </w:rPr>
        <w:t>, como sucede en el presente caso.</w:t>
      </w:r>
    </w:p>
    <w:p w14:paraId="10E0FD97" w14:textId="7E41A5F2" w:rsidR="005F1552" w:rsidRPr="00DF4C67" w:rsidRDefault="005F1552" w:rsidP="00203ED1">
      <w:pPr>
        <w:pStyle w:val="NormalWeb"/>
        <w:spacing w:before="0" w:beforeAutospacing="0" w:after="0" w:afterAutospacing="0" w:line="360" w:lineRule="auto"/>
        <w:jc w:val="both"/>
        <w:rPr>
          <w:rFonts w:asciiTheme="minorHAnsi" w:hAnsiTheme="minorHAnsi" w:cstheme="minorHAnsi"/>
          <w:bCs/>
          <w:sz w:val="27"/>
          <w:szCs w:val="27"/>
        </w:rPr>
      </w:pPr>
    </w:p>
    <w:p w14:paraId="3788362B" w14:textId="650CB3D7" w:rsidR="005F1552" w:rsidRPr="00DF4C67" w:rsidRDefault="00DF4C67" w:rsidP="00DF4C67">
      <w:pPr>
        <w:pStyle w:val="NormalWeb"/>
        <w:spacing w:before="0" w:beforeAutospacing="0" w:after="0" w:afterAutospacing="0" w:line="360" w:lineRule="auto"/>
        <w:ind w:right="275"/>
        <w:jc w:val="both"/>
        <w:rPr>
          <w:rFonts w:asciiTheme="minorHAnsi" w:hAnsiTheme="minorHAnsi" w:cstheme="minorHAnsi"/>
          <w:sz w:val="27"/>
          <w:szCs w:val="27"/>
        </w:rPr>
      </w:pPr>
      <w:r w:rsidRPr="00DF4C67">
        <w:rPr>
          <w:rFonts w:asciiTheme="minorHAnsi" w:hAnsiTheme="minorHAnsi" w:cstheme="minorHAnsi"/>
          <w:sz w:val="27"/>
          <w:szCs w:val="27"/>
        </w:rPr>
        <w:t>- Q</w:t>
      </w:r>
      <w:r w:rsidR="005F1552" w:rsidRPr="00DF4C67">
        <w:rPr>
          <w:rFonts w:asciiTheme="minorHAnsi" w:hAnsiTheme="minorHAnsi" w:cstheme="minorHAnsi"/>
          <w:sz w:val="27"/>
          <w:szCs w:val="27"/>
        </w:rPr>
        <w:t xml:space="preserve">ue en el caso, se actualiza la causa de improcedencia que señaló el Consejo Municipal de Participación Ciudadana, ya que el fin de la donación que se pretende someter a plebiscito municipal relacionada es la construcción de un Centro Universitario Multitemático, con el que se atenderá la demanda de educación a nivel superior dentro del Área Metropolitana de Guadalajara, con la incorporación de un centro universitario en el terreno propuesto del Cerro del Cuatro, con lo que se aumentan las oportunidades de acceso a la educación, además, </w:t>
      </w:r>
      <w:r w:rsidRPr="00DF4C67">
        <w:rPr>
          <w:rFonts w:asciiTheme="minorHAnsi" w:hAnsiTheme="minorHAnsi" w:cstheme="minorHAnsi"/>
          <w:sz w:val="27"/>
          <w:szCs w:val="27"/>
        </w:rPr>
        <w:t xml:space="preserve">con ello </w:t>
      </w:r>
      <w:r w:rsidR="005F1552" w:rsidRPr="00DF4C67">
        <w:rPr>
          <w:rFonts w:asciiTheme="minorHAnsi" w:hAnsiTheme="minorHAnsi" w:cstheme="minorHAnsi"/>
          <w:sz w:val="27"/>
          <w:szCs w:val="27"/>
        </w:rPr>
        <w:t>se aumentaría la economía de la zona, adecuándose al contexto social, lo que conlleva a un medio ambiente sano, demanda, ciencia, tecnología e interculturalidad entre otros.</w:t>
      </w:r>
    </w:p>
    <w:p w14:paraId="2BC419BC" w14:textId="77777777" w:rsidR="00DF4C67" w:rsidRDefault="00DF4C67" w:rsidP="00203ED1">
      <w:pPr>
        <w:pStyle w:val="NormalWeb"/>
        <w:spacing w:before="0" w:beforeAutospacing="0" w:after="0" w:afterAutospacing="0" w:line="360" w:lineRule="auto"/>
        <w:jc w:val="both"/>
        <w:rPr>
          <w:rFonts w:asciiTheme="minorHAnsi" w:hAnsiTheme="minorHAnsi" w:cstheme="minorHAnsi"/>
          <w:bCs/>
          <w:sz w:val="27"/>
          <w:szCs w:val="27"/>
        </w:rPr>
      </w:pPr>
    </w:p>
    <w:p w14:paraId="2EED9756" w14:textId="79118F5E" w:rsidR="005F1552" w:rsidRDefault="00DF4C67" w:rsidP="00203ED1">
      <w:pPr>
        <w:pStyle w:val="NormalWeb"/>
        <w:spacing w:before="0" w:beforeAutospacing="0" w:after="0" w:afterAutospacing="0" w:line="360" w:lineRule="auto"/>
        <w:jc w:val="both"/>
        <w:rPr>
          <w:rFonts w:asciiTheme="minorHAnsi" w:hAnsiTheme="minorHAnsi" w:cstheme="minorHAnsi"/>
          <w:bCs/>
          <w:sz w:val="27"/>
          <w:szCs w:val="27"/>
        </w:rPr>
      </w:pPr>
      <w:r>
        <w:rPr>
          <w:rFonts w:asciiTheme="minorHAnsi" w:hAnsiTheme="minorHAnsi" w:cstheme="minorHAnsi"/>
          <w:bCs/>
          <w:sz w:val="27"/>
          <w:szCs w:val="27"/>
        </w:rPr>
        <w:t>- Que contra</w:t>
      </w:r>
      <w:r w:rsidRPr="00DF4C67">
        <w:rPr>
          <w:rFonts w:asciiTheme="minorHAnsi" w:hAnsiTheme="minorHAnsi" w:cstheme="minorHAnsi"/>
          <w:sz w:val="27"/>
          <w:szCs w:val="27"/>
        </w:rPr>
        <w:t xml:space="preserve">rio a como lo hizo, </w:t>
      </w:r>
      <w:r w:rsidR="005F1552" w:rsidRPr="00DF4C67">
        <w:rPr>
          <w:rFonts w:asciiTheme="minorHAnsi" w:hAnsiTheme="minorHAnsi" w:cstheme="minorHAnsi"/>
          <w:sz w:val="27"/>
          <w:szCs w:val="27"/>
        </w:rPr>
        <w:t xml:space="preserve">la responsable debió </w:t>
      </w:r>
      <w:r w:rsidRPr="00DF4C67">
        <w:rPr>
          <w:rFonts w:asciiTheme="minorHAnsi" w:hAnsiTheme="minorHAnsi" w:cstheme="minorHAnsi"/>
          <w:sz w:val="27"/>
          <w:szCs w:val="27"/>
        </w:rPr>
        <w:t xml:space="preserve">concluir </w:t>
      </w:r>
      <w:r w:rsidR="005F1552" w:rsidRPr="00DF4C67">
        <w:rPr>
          <w:rFonts w:asciiTheme="minorHAnsi" w:hAnsiTheme="minorHAnsi" w:cstheme="minorHAnsi"/>
          <w:sz w:val="27"/>
          <w:szCs w:val="27"/>
        </w:rPr>
        <w:t xml:space="preserve">que se estaba reconociendo y ampliando el derecho a la educación de un importante sector de la población de San Pedro Tlaquepaque, aunado al acceso a un medio ambiente sano, ya que en las condiciones en que se encuentra esta zona, evidentemente representa un riesgo tanto para la flora como la fauna del lugar, lo que se salvaguarda con el proyecto </w:t>
      </w:r>
      <w:r w:rsidR="005F1552" w:rsidRPr="00DF4C67">
        <w:rPr>
          <w:rFonts w:asciiTheme="minorHAnsi" w:hAnsiTheme="minorHAnsi" w:cstheme="minorHAnsi"/>
          <w:sz w:val="27"/>
          <w:szCs w:val="27"/>
        </w:rPr>
        <w:lastRenderedPageBreak/>
        <w:t xml:space="preserve">presentado por la máxima casa de estudios, al ser un lugar </w:t>
      </w:r>
      <w:proofErr w:type="spellStart"/>
      <w:r w:rsidR="005F1552" w:rsidRPr="00DF4C67">
        <w:rPr>
          <w:rFonts w:asciiTheme="minorHAnsi" w:hAnsiTheme="minorHAnsi" w:cstheme="minorHAnsi"/>
          <w:sz w:val="27"/>
          <w:szCs w:val="27"/>
        </w:rPr>
        <w:t>autosusentable</w:t>
      </w:r>
      <w:proofErr w:type="spellEnd"/>
      <w:r w:rsidR="005F1552" w:rsidRPr="00DF4C67">
        <w:rPr>
          <w:rFonts w:asciiTheme="minorHAnsi" w:hAnsiTheme="minorHAnsi" w:cstheme="minorHAnsi"/>
          <w:sz w:val="27"/>
          <w:szCs w:val="27"/>
        </w:rPr>
        <w:t>.</w:t>
      </w:r>
    </w:p>
    <w:p w14:paraId="2EAF389D" w14:textId="710AFB96" w:rsidR="005F1552" w:rsidRDefault="005F1552" w:rsidP="00203ED1">
      <w:pPr>
        <w:pStyle w:val="NormalWeb"/>
        <w:spacing w:before="0" w:beforeAutospacing="0" w:after="0" w:afterAutospacing="0" w:line="360" w:lineRule="auto"/>
        <w:jc w:val="both"/>
        <w:rPr>
          <w:rFonts w:asciiTheme="minorHAnsi" w:hAnsiTheme="minorHAnsi" w:cstheme="minorHAnsi"/>
          <w:bCs/>
          <w:sz w:val="27"/>
          <w:szCs w:val="27"/>
        </w:rPr>
      </w:pPr>
    </w:p>
    <w:p w14:paraId="4D6295EA" w14:textId="15431F29" w:rsidR="005F1552" w:rsidRPr="00B15219" w:rsidRDefault="00B15219" w:rsidP="00203ED1">
      <w:pPr>
        <w:pStyle w:val="NormalWeb"/>
        <w:spacing w:before="0" w:beforeAutospacing="0" w:after="0" w:afterAutospacing="0" w:line="360" w:lineRule="auto"/>
        <w:jc w:val="both"/>
        <w:rPr>
          <w:rFonts w:asciiTheme="minorHAnsi" w:hAnsiTheme="minorHAnsi" w:cstheme="minorHAnsi"/>
          <w:bCs/>
          <w:sz w:val="27"/>
          <w:szCs w:val="27"/>
        </w:rPr>
      </w:pPr>
      <w:r w:rsidRPr="00B15219">
        <w:rPr>
          <w:rFonts w:asciiTheme="minorHAnsi" w:hAnsiTheme="minorHAnsi" w:cstheme="minorHAnsi"/>
          <w:sz w:val="27"/>
          <w:szCs w:val="27"/>
        </w:rPr>
        <w:t xml:space="preserve">- Que </w:t>
      </w:r>
      <w:r w:rsidR="005F1552" w:rsidRPr="00B15219">
        <w:rPr>
          <w:rFonts w:asciiTheme="minorHAnsi" w:hAnsiTheme="minorHAnsi" w:cstheme="minorHAnsi"/>
          <w:sz w:val="27"/>
          <w:szCs w:val="27"/>
        </w:rPr>
        <w:t>de considerar procedente el plebiscito, se est</w:t>
      </w:r>
      <w:r w:rsidRPr="00B15219">
        <w:rPr>
          <w:rFonts w:asciiTheme="minorHAnsi" w:hAnsiTheme="minorHAnsi" w:cstheme="minorHAnsi"/>
          <w:sz w:val="27"/>
          <w:szCs w:val="27"/>
        </w:rPr>
        <w:t>aría</w:t>
      </w:r>
      <w:r w:rsidR="005F1552" w:rsidRPr="00B15219">
        <w:rPr>
          <w:rFonts w:asciiTheme="minorHAnsi" w:hAnsiTheme="minorHAnsi" w:cstheme="minorHAnsi"/>
          <w:sz w:val="27"/>
          <w:szCs w:val="27"/>
        </w:rPr>
        <w:t xml:space="preserve"> disminuyendo y revocando el reconocimiento hecho tanto por el Ayuntamiento señalado en conjunción con la Universidad de Guadalajara </w:t>
      </w:r>
      <w:proofErr w:type="gramStart"/>
      <w:r w:rsidR="005F1552" w:rsidRPr="00B15219">
        <w:rPr>
          <w:rFonts w:asciiTheme="minorHAnsi" w:hAnsiTheme="minorHAnsi" w:cstheme="minorHAnsi"/>
          <w:sz w:val="27"/>
          <w:szCs w:val="27"/>
        </w:rPr>
        <w:t>en relación al</w:t>
      </w:r>
      <w:proofErr w:type="gramEnd"/>
      <w:r w:rsidR="005F1552" w:rsidRPr="00B15219">
        <w:rPr>
          <w:rFonts w:asciiTheme="minorHAnsi" w:hAnsiTheme="minorHAnsi" w:cstheme="minorHAnsi"/>
          <w:sz w:val="27"/>
          <w:szCs w:val="27"/>
        </w:rPr>
        <w:t xml:space="preserve"> acceso a los referidos derechos humanos, relacionados directamente como la garantía de niñas, niños y adolescentes para acceder a la educación, precisamente en contravención a lo establecido en el punto 2, del artículo 3 de la Ley del Sistema de Participación.</w:t>
      </w:r>
    </w:p>
    <w:p w14:paraId="4CC7E05E" w14:textId="1D0DC7D2" w:rsidR="005F1552" w:rsidRPr="00B15219" w:rsidRDefault="005F1552" w:rsidP="00203ED1">
      <w:pPr>
        <w:pStyle w:val="NormalWeb"/>
        <w:spacing w:before="0" w:beforeAutospacing="0" w:after="0" w:afterAutospacing="0" w:line="360" w:lineRule="auto"/>
        <w:jc w:val="both"/>
        <w:rPr>
          <w:rFonts w:asciiTheme="minorHAnsi" w:hAnsiTheme="minorHAnsi" w:cstheme="minorHAnsi"/>
          <w:bCs/>
          <w:sz w:val="27"/>
          <w:szCs w:val="27"/>
        </w:rPr>
      </w:pPr>
    </w:p>
    <w:p w14:paraId="363EA726" w14:textId="512582EE" w:rsidR="005F1552" w:rsidRPr="00B15219" w:rsidRDefault="00B15219" w:rsidP="00203ED1">
      <w:pPr>
        <w:pStyle w:val="NormalWeb"/>
        <w:spacing w:before="0" w:beforeAutospacing="0" w:after="0" w:afterAutospacing="0" w:line="360" w:lineRule="auto"/>
        <w:jc w:val="both"/>
        <w:rPr>
          <w:rFonts w:asciiTheme="minorHAnsi" w:hAnsiTheme="minorHAnsi" w:cstheme="minorHAnsi"/>
          <w:bCs/>
          <w:sz w:val="27"/>
          <w:szCs w:val="27"/>
        </w:rPr>
      </w:pPr>
      <w:r w:rsidRPr="00B15219">
        <w:rPr>
          <w:rFonts w:asciiTheme="minorHAnsi" w:hAnsiTheme="minorHAnsi" w:cstheme="minorHAnsi"/>
          <w:bCs/>
          <w:sz w:val="27"/>
          <w:szCs w:val="27"/>
        </w:rPr>
        <w:t xml:space="preserve">- Que resulta </w:t>
      </w:r>
      <w:r w:rsidR="005F1552" w:rsidRPr="00B15219">
        <w:rPr>
          <w:rFonts w:asciiTheme="minorHAnsi" w:hAnsiTheme="minorHAnsi" w:cstheme="minorHAnsi"/>
          <w:sz w:val="27"/>
          <w:szCs w:val="27"/>
        </w:rPr>
        <w:t>beneficioso para el derecho a la educación y al medio ambiente la construcción de un Centro Educativo como el proyectado por la Universidad de Guadalajara, lo cual atiende directamente a los grupos más vulnerables de la población, como son los habitantes de esta área geográfica, precisamente encaminado a la reconstrucción del tejido social.</w:t>
      </w:r>
    </w:p>
    <w:p w14:paraId="031702A8" w14:textId="77777777" w:rsidR="00203ED1" w:rsidRPr="003104D3" w:rsidRDefault="00203ED1" w:rsidP="00203ED1">
      <w:pPr>
        <w:spacing w:line="360" w:lineRule="auto"/>
        <w:ind w:right="-91"/>
        <w:jc w:val="both"/>
        <w:rPr>
          <w:rFonts w:cstheme="minorHAnsi"/>
          <w:bCs/>
          <w:sz w:val="27"/>
          <w:szCs w:val="27"/>
        </w:rPr>
      </w:pPr>
    </w:p>
    <w:p w14:paraId="24CD9F9B" w14:textId="1B87692B" w:rsidR="00203ED1" w:rsidRPr="00BA27FC" w:rsidRDefault="00203ED1" w:rsidP="00203ED1">
      <w:pPr>
        <w:pStyle w:val="NormalWeb"/>
        <w:spacing w:before="0" w:beforeAutospacing="0" w:after="0" w:afterAutospacing="0" w:line="360" w:lineRule="auto"/>
        <w:jc w:val="both"/>
        <w:rPr>
          <w:rFonts w:asciiTheme="minorHAnsi" w:hAnsiTheme="minorHAnsi" w:cstheme="minorHAnsi"/>
          <w:bCs/>
          <w:sz w:val="27"/>
          <w:szCs w:val="27"/>
        </w:rPr>
      </w:pPr>
      <w:r w:rsidRPr="00BA27FC">
        <w:rPr>
          <w:rFonts w:asciiTheme="minorHAnsi" w:hAnsiTheme="minorHAnsi" w:cstheme="minorHAnsi"/>
          <w:bCs/>
          <w:sz w:val="27"/>
          <w:szCs w:val="27"/>
        </w:rPr>
        <w:t>Por tanto, como se expresó en párrafos anteriores de la presente sentencia, los agravios del actor en esta instancia deben desestimarse al resultar inoperantes, ya que se limitan a exponer</w:t>
      </w:r>
      <w:r w:rsidR="00BA27FC" w:rsidRPr="00BA27FC">
        <w:rPr>
          <w:rFonts w:asciiTheme="minorHAnsi" w:hAnsiTheme="minorHAnsi" w:cstheme="minorHAnsi"/>
          <w:bCs/>
          <w:sz w:val="27"/>
          <w:szCs w:val="27"/>
        </w:rPr>
        <w:t xml:space="preserve"> en forma por demás vaga, genérica e imprecisa, las razones por las que a juicio del promovente la solicitud del plebiscito debió haber sido declarada procedente, </w:t>
      </w:r>
      <w:r w:rsidRPr="00BA27FC">
        <w:rPr>
          <w:rFonts w:asciiTheme="minorHAnsi" w:hAnsiTheme="minorHAnsi" w:cstheme="minorHAnsi"/>
          <w:bCs/>
          <w:sz w:val="27"/>
          <w:szCs w:val="27"/>
        </w:rPr>
        <w:t xml:space="preserve">pero sin </w:t>
      </w:r>
      <w:r w:rsidR="00BA27FC" w:rsidRPr="00BA27FC">
        <w:rPr>
          <w:rFonts w:asciiTheme="minorHAnsi" w:hAnsiTheme="minorHAnsi" w:cstheme="minorHAnsi"/>
          <w:bCs/>
          <w:sz w:val="27"/>
          <w:szCs w:val="27"/>
        </w:rPr>
        <w:t>combatir frontalmente</w:t>
      </w:r>
      <w:r w:rsidRPr="00BA27FC">
        <w:rPr>
          <w:rFonts w:asciiTheme="minorHAnsi" w:hAnsiTheme="minorHAnsi" w:cstheme="minorHAnsi"/>
          <w:bCs/>
          <w:sz w:val="27"/>
          <w:szCs w:val="27"/>
        </w:rPr>
        <w:t xml:space="preserve"> ninguna de las razones ni los argumentos que el tribunal responsable tomó en cuenta para resolver como lo hizo. </w:t>
      </w:r>
    </w:p>
    <w:p w14:paraId="7F70B61A" w14:textId="77777777" w:rsidR="00203ED1" w:rsidRPr="00BA27FC" w:rsidRDefault="00203ED1" w:rsidP="00203ED1">
      <w:pPr>
        <w:pStyle w:val="NormalWeb"/>
        <w:spacing w:before="0" w:beforeAutospacing="0" w:after="0" w:afterAutospacing="0" w:line="360" w:lineRule="auto"/>
        <w:jc w:val="both"/>
        <w:rPr>
          <w:rFonts w:asciiTheme="minorHAnsi" w:hAnsiTheme="minorHAnsi" w:cstheme="minorHAnsi"/>
          <w:bCs/>
          <w:sz w:val="27"/>
          <w:szCs w:val="27"/>
        </w:rPr>
      </w:pPr>
    </w:p>
    <w:p w14:paraId="22070E84" w14:textId="34DA484D" w:rsidR="00203ED1" w:rsidRPr="00BA27FC" w:rsidRDefault="00203ED1" w:rsidP="00203ED1">
      <w:pPr>
        <w:pStyle w:val="NormalWeb"/>
        <w:spacing w:before="0" w:beforeAutospacing="0" w:after="0" w:afterAutospacing="0" w:line="360" w:lineRule="auto"/>
        <w:jc w:val="both"/>
        <w:rPr>
          <w:rFonts w:asciiTheme="minorHAnsi" w:hAnsiTheme="minorHAnsi" w:cstheme="minorHAnsi"/>
          <w:color w:val="000000"/>
          <w:sz w:val="27"/>
          <w:szCs w:val="27"/>
        </w:rPr>
      </w:pPr>
      <w:r w:rsidRPr="00BA27FC">
        <w:rPr>
          <w:rFonts w:asciiTheme="minorHAnsi" w:hAnsiTheme="minorHAnsi" w:cstheme="minorHAnsi"/>
          <w:bCs/>
          <w:sz w:val="27"/>
          <w:szCs w:val="27"/>
        </w:rPr>
        <w:t xml:space="preserve">De esta forma, </w:t>
      </w:r>
      <w:r w:rsidRPr="00BA27FC">
        <w:rPr>
          <w:rFonts w:asciiTheme="minorHAnsi" w:hAnsiTheme="minorHAnsi" w:cstheme="minorHAnsi"/>
          <w:color w:val="000000"/>
          <w:sz w:val="27"/>
          <w:szCs w:val="27"/>
        </w:rPr>
        <w:t xml:space="preserve">ha sido criterio reiterado de este Tribunal Electoral, que en los medios de impugnación, los agravios deben estar dirigidos a combatir todas y cada una de las consideraciones contenidas en la sentencia recurrida, cuestión que no sucede en el presente caso, pues como ha quedado demostrado, el actor se limita a argumentar cuestiones que no confrontan los razonamientos del tribunal de origen, por lo que el recurrente incumple con su obligación de impugnar todas y cada una de las consideraciones sustentadas por el tribunal responsable. </w:t>
      </w:r>
    </w:p>
    <w:p w14:paraId="1D91BFBF" w14:textId="77777777" w:rsidR="00BA27FC" w:rsidRPr="00BA27FC" w:rsidRDefault="00203ED1" w:rsidP="00203ED1">
      <w:pPr>
        <w:pStyle w:val="NormalWeb"/>
        <w:spacing w:before="0" w:beforeAutospacing="0" w:after="0" w:afterAutospacing="0" w:line="360" w:lineRule="auto"/>
        <w:jc w:val="both"/>
        <w:rPr>
          <w:rFonts w:asciiTheme="minorHAnsi" w:hAnsiTheme="minorHAnsi" w:cstheme="minorHAnsi"/>
          <w:color w:val="000000"/>
          <w:sz w:val="27"/>
          <w:szCs w:val="27"/>
        </w:rPr>
      </w:pPr>
      <w:r w:rsidRPr="00BA27FC">
        <w:rPr>
          <w:rFonts w:asciiTheme="minorHAnsi" w:hAnsiTheme="minorHAnsi" w:cstheme="minorHAnsi"/>
          <w:color w:val="000000"/>
          <w:sz w:val="27"/>
          <w:szCs w:val="27"/>
        </w:rPr>
        <w:lastRenderedPageBreak/>
        <w:t>De tal suerte, que el actor en el presente juicio hace descansar sus agravios en</w:t>
      </w:r>
      <w:r w:rsidR="00BA27FC" w:rsidRPr="00BA27FC">
        <w:rPr>
          <w:rFonts w:asciiTheme="minorHAnsi" w:hAnsiTheme="minorHAnsi" w:cstheme="minorHAnsi"/>
          <w:color w:val="000000"/>
          <w:sz w:val="27"/>
          <w:szCs w:val="27"/>
        </w:rPr>
        <w:t xml:space="preserve"> razonamientos </w:t>
      </w:r>
      <w:proofErr w:type="gramStart"/>
      <w:r w:rsidR="00BA27FC" w:rsidRPr="00BA27FC">
        <w:rPr>
          <w:rFonts w:asciiTheme="minorHAnsi" w:hAnsiTheme="minorHAnsi" w:cstheme="minorHAnsi"/>
          <w:color w:val="000000"/>
          <w:sz w:val="27"/>
          <w:szCs w:val="27"/>
        </w:rPr>
        <w:t>que</w:t>
      </w:r>
      <w:proofErr w:type="gramEnd"/>
      <w:r w:rsidR="00BA27FC" w:rsidRPr="00BA27FC">
        <w:rPr>
          <w:rFonts w:asciiTheme="minorHAnsi" w:hAnsiTheme="minorHAnsi" w:cstheme="minorHAnsi"/>
          <w:color w:val="000000"/>
          <w:sz w:val="27"/>
          <w:szCs w:val="27"/>
        </w:rPr>
        <w:t xml:space="preserve"> si bien pudieran ser tomados en cuenta en una primera instancia, no</w:t>
      </w:r>
      <w:r w:rsidRPr="00BA27FC">
        <w:rPr>
          <w:rFonts w:asciiTheme="minorHAnsi" w:hAnsiTheme="minorHAnsi" w:cstheme="minorHAnsi"/>
          <w:color w:val="000000"/>
          <w:sz w:val="27"/>
          <w:szCs w:val="27"/>
        </w:rPr>
        <w:t xml:space="preserve"> confronta</w:t>
      </w:r>
      <w:r w:rsidR="00BA27FC" w:rsidRPr="00BA27FC">
        <w:rPr>
          <w:rFonts w:asciiTheme="minorHAnsi" w:hAnsiTheme="minorHAnsi" w:cstheme="minorHAnsi"/>
          <w:color w:val="000000"/>
          <w:sz w:val="27"/>
          <w:szCs w:val="27"/>
        </w:rPr>
        <w:t>n</w:t>
      </w:r>
      <w:r w:rsidRPr="00BA27FC">
        <w:rPr>
          <w:rFonts w:asciiTheme="minorHAnsi" w:hAnsiTheme="minorHAnsi" w:cstheme="minorHAnsi"/>
          <w:color w:val="000000"/>
          <w:sz w:val="27"/>
          <w:szCs w:val="27"/>
        </w:rPr>
        <w:t xml:space="preserve"> las razones que la responsable expuso para </w:t>
      </w:r>
      <w:r w:rsidR="00BA27FC" w:rsidRPr="00BA27FC">
        <w:rPr>
          <w:rFonts w:asciiTheme="minorHAnsi" w:hAnsiTheme="minorHAnsi" w:cstheme="minorHAnsi"/>
          <w:color w:val="000000"/>
          <w:sz w:val="27"/>
          <w:szCs w:val="27"/>
        </w:rPr>
        <w:t>resolver los recursos de apelación</w:t>
      </w:r>
      <w:r w:rsidRPr="00BA27FC">
        <w:rPr>
          <w:rFonts w:asciiTheme="minorHAnsi" w:hAnsiTheme="minorHAnsi" w:cstheme="minorHAnsi"/>
          <w:color w:val="000000"/>
          <w:sz w:val="27"/>
          <w:szCs w:val="27"/>
        </w:rPr>
        <w:t>,</w:t>
      </w:r>
      <w:r w:rsidR="00BA27FC" w:rsidRPr="00BA27FC">
        <w:rPr>
          <w:rFonts w:asciiTheme="minorHAnsi" w:hAnsiTheme="minorHAnsi" w:cstheme="minorHAnsi"/>
          <w:color w:val="000000"/>
          <w:sz w:val="27"/>
          <w:szCs w:val="27"/>
        </w:rPr>
        <w:t xml:space="preserve"> cuestión que resulta fundamental en juicios de revisión o de segunda instancia como es el que se resuelve. </w:t>
      </w:r>
      <w:r w:rsidRPr="00BA27FC">
        <w:rPr>
          <w:rFonts w:asciiTheme="minorHAnsi" w:hAnsiTheme="minorHAnsi" w:cstheme="minorHAnsi"/>
          <w:color w:val="000000"/>
          <w:sz w:val="27"/>
          <w:szCs w:val="27"/>
        </w:rPr>
        <w:t xml:space="preserve"> </w:t>
      </w:r>
      <w:r w:rsidR="00BA27FC" w:rsidRPr="00BA27FC">
        <w:rPr>
          <w:rFonts w:asciiTheme="minorHAnsi" w:hAnsiTheme="minorHAnsi" w:cstheme="minorHAnsi"/>
          <w:color w:val="000000"/>
          <w:sz w:val="27"/>
          <w:szCs w:val="27"/>
        </w:rPr>
        <w:t xml:space="preserve">Aún y aplicando la suplencia en la deficiente expresión de los agravios, los argumentos del actor no pueden ser estudiados al no estar dirigidos a combatir los razonamientos de la sentencia impugnada que han quedado transcritos en párrafos precedentes. </w:t>
      </w:r>
    </w:p>
    <w:p w14:paraId="6F138257" w14:textId="77777777" w:rsidR="00BA27FC" w:rsidRPr="00BA27FC" w:rsidRDefault="00BA27FC" w:rsidP="00203ED1">
      <w:pPr>
        <w:pStyle w:val="NormalWeb"/>
        <w:spacing w:before="0" w:beforeAutospacing="0" w:after="0" w:afterAutospacing="0" w:line="360" w:lineRule="auto"/>
        <w:jc w:val="both"/>
        <w:rPr>
          <w:rFonts w:asciiTheme="minorHAnsi" w:hAnsiTheme="minorHAnsi" w:cstheme="minorHAnsi"/>
          <w:color w:val="000000"/>
          <w:sz w:val="27"/>
          <w:szCs w:val="27"/>
        </w:rPr>
      </w:pPr>
    </w:p>
    <w:p w14:paraId="27C3F25C" w14:textId="0DCFCB21" w:rsidR="00203ED1" w:rsidRDefault="00BA27FC" w:rsidP="00203ED1">
      <w:pPr>
        <w:pStyle w:val="NormalWeb"/>
        <w:spacing w:before="0" w:beforeAutospacing="0" w:after="0" w:afterAutospacing="0" w:line="360" w:lineRule="auto"/>
        <w:jc w:val="both"/>
        <w:rPr>
          <w:rFonts w:asciiTheme="minorHAnsi" w:hAnsiTheme="minorHAnsi" w:cstheme="minorHAnsi"/>
          <w:bCs/>
          <w:sz w:val="27"/>
          <w:szCs w:val="27"/>
        </w:rPr>
      </w:pPr>
      <w:r w:rsidRPr="00BA27FC">
        <w:rPr>
          <w:rFonts w:asciiTheme="minorHAnsi" w:hAnsiTheme="minorHAnsi" w:cstheme="minorHAnsi"/>
          <w:color w:val="000000"/>
          <w:sz w:val="27"/>
          <w:szCs w:val="27"/>
        </w:rPr>
        <w:t xml:space="preserve">Lo mismo sucede con el agravio en el que el actor se duele de que la solicitud de plebiscito fue presentada </w:t>
      </w:r>
      <w:proofErr w:type="gramStart"/>
      <w:r w:rsidRPr="00BA27FC">
        <w:rPr>
          <w:rFonts w:asciiTheme="minorHAnsi" w:hAnsiTheme="minorHAnsi" w:cstheme="minorHAnsi"/>
          <w:color w:val="000000"/>
          <w:sz w:val="27"/>
          <w:szCs w:val="27"/>
        </w:rPr>
        <w:t xml:space="preserve">oportunamente, </w:t>
      </w:r>
      <w:r w:rsidR="00203ED1" w:rsidRPr="00BA27FC">
        <w:rPr>
          <w:rFonts w:asciiTheme="minorHAnsi" w:hAnsiTheme="minorHAnsi" w:cstheme="minorHAnsi"/>
          <w:color w:val="000000"/>
          <w:sz w:val="27"/>
          <w:szCs w:val="27"/>
        </w:rPr>
        <w:t xml:space="preserve"> </w:t>
      </w:r>
      <w:r w:rsidRPr="00BA27FC">
        <w:rPr>
          <w:rFonts w:asciiTheme="minorHAnsi" w:hAnsiTheme="minorHAnsi" w:cstheme="minorHAnsi"/>
          <w:bCs/>
          <w:sz w:val="27"/>
          <w:szCs w:val="27"/>
        </w:rPr>
        <w:t>ya</w:t>
      </w:r>
      <w:proofErr w:type="gramEnd"/>
      <w:r w:rsidRPr="00BA27FC">
        <w:rPr>
          <w:rFonts w:asciiTheme="minorHAnsi" w:hAnsiTheme="minorHAnsi" w:cstheme="minorHAnsi"/>
          <w:bCs/>
          <w:sz w:val="27"/>
          <w:szCs w:val="27"/>
        </w:rPr>
        <w:t xml:space="preserve"> que la </w:t>
      </w:r>
      <w:r w:rsidR="00A07E91">
        <w:rPr>
          <w:rFonts w:asciiTheme="minorHAnsi" w:hAnsiTheme="minorHAnsi" w:cstheme="minorHAnsi"/>
          <w:bCs/>
          <w:sz w:val="27"/>
          <w:szCs w:val="27"/>
        </w:rPr>
        <w:t>misma</w:t>
      </w:r>
      <w:r w:rsidRPr="00BA27FC">
        <w:rPr>
          <w:rFonts w:asciiTheme="minorHAnsi" w:hAnsiTheme="minorHAnsi" w:cstheme="minorHAnsi"/>
          <w:bCs/>
          <w:sz w:val="27"/>
          <w:szCs w:val="27"/>
        </w:rPr>
        <w:t xml:space="preserve"> se presentó el nueve de agosto del año dos mil diecinueve, dentro del término de treinta días posteriores al acto</w:t>
      </w:r>
      <w:r w:rsidR="00A07E91">
        <w:rPr>
          <w:rFonts w:asciiTheme="minorHAnsi" w:hAnsiTheme="minorHAnsi" w:cstheme="minorHAnsi"/>
          <w:bCs/>
          <w:sz w:val="27"/>
          <w:szCs w:val="27"/>
        </w:rPr>
        <w:t xml:space="preserve">. </w:t>
      </w:r>
    </w:p>
    <w:p w14:paraId="77B056AD" w14:textId="42FA12B3" w:rsidR="00A07E91" w:rsidRDefault="00A07E91" w:rsidP="00203ED1">
      <w:pPr>
        <w:pStyle w:val="NormalWeb"/>
        <w:spacing w:before="0" w:beforeAutospacing="0" w:after="0" w:afterAutospacing="0" w:line="360" w:lineRule="auto"/>
        <w:jc w:val="both"/>
        <w:rPr>
          <w:rFonts w:asciiTheme="minorHAnsi" w:hAnsiTheme="minorHAnsi" w:cstheme="minorHAnsi"/>
          <w:bCs/>
          <w:sz w:val="27"/>
          <w:szCs w:val="27"/>
        </w:rPr>
      </w:pPr>
    </w:p>
    <w:p w14:paraId="3C9695CF" w14:textId="77777777" w:rsidR="00A07E91" w:rsidRDefault="00A07E91" w:rsidP="00203ED1">
      <w:pPr>
        <w:pStyle w:val="NormalWeb"/>
        <w:spacing w:before="0" w:beforeAutospacing="0" w:after="0" w:afterAutospacing="0" w:line="360" w:lineRule="auto"/>
        <w:jc w:val="both"/>
        <w:rPr>
          <w:rFonts w:asciiTheme="minorHAnsi" w:hAnsiTheme="minorHAnsi" w:cstheme="minorHAnsi"/>
          <w:bCs/>
          <w:sz w:val="27"/>
          <w:szCs w:val="27"/>
        </w:rPr>
      </w:pPr>
      <w:r>
        <w:rPr>
          <w:rFonts w:asciiTheme="minorHAnsi" w:hAnsiTheme="minorHAnsi" w:cstheme="minorHAnsi"/>
          <w:bCs/>
          <w:sz w:val="27"/>
          <w:szCs w:val="27"/>
        </w:rPr>
        <w:t xml:space="preserve">Sin embargo, del análisis de la sentencia recurrida se advierte que la fecha de presentación no fue materia de controversia, sino </w:t>
      </w:r>
      <w:proofErr w:type="gramStart"/>
      <w:r>
        <w:rPr>
          <w:rFonts w:asciiTheme="minorHAnsi" w:hAnsiTheme="minorHAnsi" w:cstheme="minorHAnsi"/>
          <w:bCs/>
          <w:sz w:val="27"/>
          <w:szCs w:val="27"/>
        </w:rPr>
        <w:t>que</w:t>
      </w:r>
      <w:proofErr w:type="gramEnd"/>
      <w:r>
        <w:rPr>
          <w:rFonts w:asciiTheme="minorHAnsi" w:hAnsiTheme="minorHAnsi" w:cstheme="minorHAnsi"/>
          <w:bCs/>
          <w:sz w:val="27"/>
          <w:szCs w:val="27"/>
        </w:rPr>
        <w:t xml:space="preserve"> respecto a este tema, la responsable realizó los siguientes razonamientos: </w:t>
      </w:r>
    </w:p>
    <w:p w14:paraId="642C6A22" w14:textId="77777777" w:rsidR="00A07E91" w:rsidRDefault="00A07E91" w:rsidP="00203ED1">
      <w:pPr>
        <w:pStyle w:val="NormalWeb"/>
        <w:spacing w:before="0" w:beforeAutospacing="0" w:after="0" w:afterAutospacing="0" w:line="360" w:lineRule="auto"/>
        <w:jc w:val="both"/>
        <w:rPr>
          <w:rFonts w:asciiTheme="minorHAnsi" w:hAnsiTheme="minorHAnsi" w:cstheme="minorHAnsi"/>
          <w:bCs/>
          <w:sz w:val="27"/>
          <w:szCs w:val="27"/>
        </w:rPr>
      </w:pPr>
    </w:p>
    <w:p w14:paraId="6C8A71E1" w14:textId="77777777" w:rsidR="00A07E91" w:rsidRDefault="00A07E91" w:rsidP="00A07E91">
      <w:pPr>
        <w:pStyle w:val="NormalWeb"/>
        <w:spacing w:before="0" w:beforeAutospacing="0" w:after="0" w:afterAutospacing="0" w:line="360" w:lineRule="auto"/>
        <w:ind w:left="284" w:right="275"/>
        <w:jc w:val="both"/>
        <w:rPr>
          <w:rFonts w:asciiTheme="minorHAnsi" w:hAnsiTheme="minorHAnsi" w:cstheme="minorHAnsi"/>
          <w:i/>
          <w:iCs/>
          <w:sz w:val="24"/>
          <w:szCs w:val="24"/>
        </w:rPr>
      </w:pPr>
      <w:r>
        <w:rPr>
          <w:rFonts w:asciiTheme="minorHAnsi" w:hAnsiTheme="minorHAnsi" w:cstheme="minorHAnsi"/>
          <w:i/>
          <w:iCs/>
          <w:sz w:val="24"/>
          <w:szCs w:val="24"/>
        </w:rPr>
        <w:t>“…</w:t>
      </w:r>
      <w:r w:rsidRPr="00A07E91">
        <w:rPr>
          <w:rFonts w:asciiTheme="minorHAnsi" w:hAnsiTheme="minorHAnsi" w:cstheme="minorHAnsi"/>
          <w:i/>
          <w:iCs/>
          <w:sz w:val="24"/>
          <w:szCs w:val="24"/>
        </w:rPr>
        <w:t xml:space="preserve">si bien en la ley de la materia existe el plazo de 30 días naturales posteriores a la aprobación del acto o decisión materialmente administrativo, el cual se estipula para las y los ciudadanos del Estado que representen al menos el 0.05 por ciento de la lista nominal de electores, se considera que el Consejo General Electoral local, al momento de emitir la resolución impugnada, hace una interpretación literal de la ley, dejando de observar la intención del legislador en este tema en cuanto a qué actos serán los que sean potestad del municipio para ser sometidos a consideración de la ciudadanía, lo que se llevará a cabo previo a la materialización y perfeccionamiento del acto y aquellos actos que se actualizará la procedencia a favor del ciudadano, una vez que se ha llevado a cabo la decisión o acto materialmente administrativo, actualizándose entonces el plazo que señala la Ley de Participación Ciudadana para su solicitud. </w:t>
      </w:r>
    </w:p>
    <w:p w14:paraId="27A6E0F9" w14:textId="77777777" w:rsidR="00A07E91" w:rsidRDefault="00A07E91" w:rsidP="00A07E91">
      <w:pPr>
        <w:pStyle w:val="NormalWeb"/>
        <w:spacing w:before="0" w:beforeAutospacing="0" w:after="0" w:afterAutospacing="0" w:line="360" w:lineRule="auto"/>
        <w:ind w:left="284" w:right="275"/>
        <w:jc w:val="both"/>
        <w:rPr>
          <w:rFonts w:asciiTheme="minorHAnsi" w:hAnsiTheme="minorHAnsi" w:cstheme="minorHAnsi"/>
          <w:i/>
          <w:iCs/>
          <w:sz w:val="24"/>
          <w:szCs w:val="24"/>
        </w:rPr>
      </w:pPr>
    </w:p>
    <w:p w14:paraId="3D6335EE" w14:textId="77777777" w:rsidR="00A07E91" w:rsidRDefault="00A07E91" w:rsidP="00A07E91">
      <w:pPr>
        <w:pStyle w:val="NormalWeb"/>
        <w:spacing w:before="0" w:beforeAutospacing="0" w:after="0" w:afterAutospacing="0" w:line="360" w:lineRule="auto"/>
        <w:ind w:left="284" w:right="275"/>
        <w:jc w:val="both"/>
        <w:rPr>
          <w:rFonts w:asciiTheme="minorHAnsi" w:hAnsiTheme="minorHAnsi" w:cstheme="minorHAnsi"/>
          <w:i/>
          <w:iCs/>
          <w:sz w:val="24"/>
          <w:szCs w:val="24"/>
        </w:rPr>
      </w:pPr>
      <w:r w:rsidRPr="00A07E91">
        <w:rPr>
          <w:rFonts w:asciiTheme="minorHAnsi" w:hAnsiTheme="minorHAnsi" w:cstheme="minorHAnsi"/>
          <w:i/>
          <w:iCs/>
          <w:sz w:val="24"/>
          <w:szCs w:val="24"/>
        </w:rPr>
        <w:t xml:space="preserve">En efecto, tal y como lo señalan los actores, no obstante que el presente procedimiento de solicitud de plebiscito ha pasado por varias etapas de revisión, la autoridad responsable no hace un análisis idóneo respecto a la </w:t>
      </w:r>
      <w:r w:rsidRPr="00A07E91">
        <w:rPr>
          <w:rFonts w:asciiTheme="minorHAnsi" w:hAnsiTheme="minorHAnsi" w:cstheme="minorHAnsi"/>
          <w:i/>
          <w:iCs/>
          <w:sz w:val="24"/>
          <w:szCs w:val="24"/>
        </w:rPr>
        <w:lastRenderedPageBreak/>
        <w:t xml:space="preserve">procedencia de la referida solicitud, en razón a que se limita a analizar la oportunidad para la presentación de la solicitud de manera literal, no </w:t>
      </w:r>
      <w:proofErr w:type="gramStart"/>
      <w:r w:rsidRPr="00A07E91">
        <w:rPr>
          <w:rFonts w:asciiTheme="minorHAnsi" w:hAnsiTheme="minorHAnsi" w:cstheme="minorHAnsi"/>
          <w:i/>
          <w:iCs/>
          <w:sz w:val="24"/>
          <w:szCs w:val="24"/>
        </w:rPr>
        <w:t>obstante</w:t>
      </w:r>
      <w:proofErr w:type="gramEnd"/>
      <w:r w:rsidRPr="00A07E91">
        <w:rPr>
          <w:rFonts w:asciiTheme="minorHAnsi" w:hAnsiTheme="minorHAnsi" w:cstheme="minorHAnsi"/>
          <w:i/>
          <w:iCs/>
          <w:sz w:val="24"/>
          <w:szCs w:val="24"/>
        </w:rPr>
        <w:t xml:space="preserve"> debió hacer un análisis respecto la posibilidad de su presentación desde dos ópticas: </w:t>
      </w:r>
    </w:p>
    <w:p w14:paraId="2CA63D84" w14:textId="77777777" w:rsidR="00A07E91" w:rsidRDefault="00A07E91" w:rsidP="00A07E91">
      <w:pPr>
        <w:pStyle w:val="NormalWeb"/>
        <w:spacing w:before="0" w:beforeAutospacing="0" w:after="0" w:afterAutospacing="0" w:line="360" w:lineRule="auto"/>
        <w:ind w:left="284" w:right="275"/>
        <w:jc w:val="both"/>
        <w:rPr>
          <w:rFonts w:asciiTheme="minorHAnsi" w:hAnsiTheme="minorHAnsi" w:cstheme="minorHAnsi"/>
          <w:i/>
          <w:iCs/>
          <w:sz w:val="24"/>
          <w:szCs w:val="24"/>
        </w:rPr>
      </w:pPr>
    </w:p>
    <w:p w14:paraId="1724E5D5" w14:textId="77777777" w:rsidR="00A07E91" w:rsidRDefault="00A07E91" w:rsidP="00A07E91">
      <w:pPr>
        <w:pStyle w:val="NormalWeb"/>
        <w:spacing w:before="0" w:beforeAutospacing="0" w:after="0" w:afterAutospacing="0" w:line="360" w:lineRule="auto"/>
        <w:ind w:left="284" w:right="275"/>
        <w:jc w:val="both"/>
        <w:rPr>
          <w:rFonts w:asciiTheme="minorHAnsi" w:hAnsiTheme="minorHAnsi" w:cstheme="minorHAnsi"/>
          <w:i/>
          <w:iCs/>
          <w:sz w:val="24"/>
          <w:szCs w:val="24"/>
        </w:rPr>
      </w:pPr>
      <w:r w:rsidRPr="00A07E91">
        <w:rPr>
          <w:rFonts w:asciiTheme="minorHAnsi" w:hAnsiTheme="minorHAnsi" w:cstheme="minorHAnsi"/>
          <w:i/>
          <w:iCs/>
          <w:sz w:val="24"/>
          <w:szCs w:val="24"/>
        </w:rPr>
        <w:t xml:space="preserve">a) Facultad del municipio de someter a plebiscito obras de enajenación, en donde la oportunidad se vislumbra en cuanto al artículo 84 de la Constitución Política local. </w:t>
      </w:r>
    </w:p>
    <w:p w14:paraId="5D41C8D8" w14:textId="77777777" w:rsidR="00A07E91" w:rsidRDefault="00A07E91" w:rsidP="00A07E91">
      <w:pPr>
        <w:pStyle w:val="NormalWeb"/>
        <w:spacing w:before="0" w:beforeAutospacing="0" w:after="0" w:afterAutospacing="0" w:line="360" w:lineRule="auto"/>
        <w:ind w:left="284" w:right="275"/>
        <w:jc w:val="both"/>
        <w:rPr>
          <w:rFonts w:asciiTheme="minorHAnsi" w:hAnsiTheme="minorHAnsi" w:cstheme="minorHAnsi"/>
          <w:i/>
          <w:iCs/>
          <w:sz w:val="24"/>
          <w:szCs w:val="24"/>
        </w:rPr>
      </w:pPr>
      <w:r w:rsidRPr="00A07E91">
        <w:rPr>
          <w:rFonts w:asciiTheme="minorHAnsi" w:hAnsiTheme="minorHAnsi" w:cstheme="minorHAnsi"/>
          <w:i/>
          <w:iCs/>
          <w:sz w:val="24"/>
          <w:szCs w:val="24"/>
        </w:rPr>
        <w:t xml:space="preserve">b) Derecho ciudadano de plebiscito municipal, tratándose de actos materialmente administrativos, artículo 35 de la Ley de Participación. </w:t>
      </w:r>
    </w:p>
    <w:p w14:paraId="33C1F5C0" w14:textId="77777777" w:rsidR="00A07E91" w:rsidRDefault="00A07E91" w:rsidP="00A07E91">
      <w:pPr>
        <w:pStyle w:val="NormalWeb"/>
        <w:spacing w:before="0" w:beforeAutospacing="0" w:after="0" w:afterAutospacing="0" w:line="360" w:lineRule="auto"/>
        <w:ind w:left="284" w:right="275"/>
        <w:jc w:val="both"/>
        <w:rPr>
          <w:rFonts w:asciiTheme="minorHAnsi" w:hAnsiTheme="minorHAnsi" w:cstheme="minorHAnsi"/>
          <w:i/>
          <w:iCs/>
          <w:sz w:val="24"/>
          <w:szCs w:val="24"/>
        </w:rPr>
      </w:pPr>
    </w:p>
    <w:p w14:paraId="44437257" w14:textId="77777777" w:rsidR="00A07E91" w:rsidRDefault="00A07E91" w:rsidP="00A07E91">
      <w:pPr>
        <w:pStyle w:val="NormalWeb"/>
        <w:spacing w:before="0" w:beforeAutospacing="0" w:after="0" w:afterAutospacing="0" w:line="360" w:lineRule="auto"/>
        <w:ind w:left="284" w:right="275"/>
        <w:jc w:val="both"/>
        <w:rPr>
          <w:rFonts w:asciiTheme="minorHAnsi" w:hAnsiTheme="minorHAnsi" w:cstheme="minorHAnsi"/>
          <w:i/>
          <w:iCs/>
          <w:sz w:val="24"/>
          <w:szCs w:val="24"/>
        </w:rPr>
      </w:pPr>
      <w:r w:rsidRPr="00A07E91">
        <w:rPr>
          <w:rFonts w:asciiTheme="minorHAnsi" w:hAnsiTheme="minorHAnsi" w:cstheme="minorHAnsi"/>
          <w:i/>
          <w:iCs/>
          <w:sz w:val="24"/>
          <w:szCs w:val="24"/>
        </w:rPr>
        <w:t xml:space="preserve">Así, en el caso concreto se está ante el plebiscito señalado en el inciso a) que antecede, por lo que debe aplicarse el término previsto en el artículo 84 de la Constitución local, es decir, treinta días a partir de su emisión, al referirse a una enajenación del patrimonio municipal, que será sometido “previamente” o “antes de” a la aprobación de la población, es decir, previo a que se ejecute, de ahí que si su ejecución se ha perfeccionado. </w:t>
      </w:r>
    </w:p>
    <w:p w14:paraId="3FB744AB" w14:textId="77777777" w:rsidR="00A07E91" w:rsidRDefault="00A07E91" w:rsidP="00A07E91">
      <w:pPr>
        <w:pStyle w:val="NormalWeb"/>
        <w:spacing w:before="0" w:beforeAutospacing="0" w:after="0" w:afterAutospacing="0" w:line="360" w:lineRule="auto"/>
        <w:ind w:left="284" w:right="275"/>
        <w:jc w:val="both"/>
        <w:rPr>
          <w:rFonts w:asciiTheme="minorHAnsi" w:hAnsiTheme="minorHAnsi" w:cstheme="minorHAnsi"/>
          <w:i/>
          <w:iCs/>
          <w:sz w:val="24"/>
          <w:szCs w:val="24"/>
        </w:rPr>
      </w:pPr>
    </w:p>
    <w:p w14:paraId="0EAC2D94" w14:textId="6A865D54" w:rsidR="00A07E91" w:rsidRPr="00A07E91" w:rsidRDefault="00A07E91" w:rsidP="00A07E91">
      <w:pPr>
        <w:pStyle w:val="NormalWeb"/>
        <w:spacing w:before="0" w:beforeAutospacing="0" w:after="0" w:afterAutospacing="0" w:line="360" w:lineRule="auto"/>
        <w:ind w:left="284" w:right="275"/>
        <w:jc w:val="both"/>
        <w:rPr>
          <w:rFonts w:asciiTheme="minorHAnsi" w:hAnsiTheme="minorHAnsi" w:cstheme="minorHAnsi"/>
          <w:i/>
          <w:iCs/>
          <w:color w:val="000000"/>
          <w:sz w:val="24"/>
          <w:szCs w:val="24"/>
        </w:rPr>
      </w:pPr>
      <w:r w:rsidRPr="00A07E91">
        <w:rPr>
          <w:rFonts w:asciiTheme="minorHAnsi" w:hAnsiTheme="minorHAnsi" w:cstheme="minorHAnsi"/>
          <w:i/>
          <w:iCs/>
          <w:sz w:val="24"/>
          <w:szCs w:val="24"/>
        </w:rPr>
        <w:t>Lo anterior se refuerza con el hecho de que en ninguna porción normativa de la legislación aplicable se ordena que si fuera procedente la solicitud de plebiscito como la que en el caso acontece, se ordene a la autoridad que suspenda el acto y/o sus efectos hasta en tanto se conozcan oficialmente los resultados de dicha consulta, por lo que de una interpretación sistemática y funcional se arriba a la conclusión de que en el caso específico del acto jurídico se materialice apegado a las formalidades administrativas y civiles, no es susceptible al escrutinio de la ciudadanía porque efectivamente se ha consumado el acto de manera irreversible, de ahí que se consideren FUNDADOS los agravios B) y C) materia de estudio.</w:t>
      </w:r>
      <w:r w:rsidRPr="00A07E91">
        <w:rPr>
          <w:rFonts w:asciiTheme="minorHAnsi" w:hAnsiTheme="minorHAnsi" w:cstheme="minorHAnsi"/>
          <w:bCs/>
          <w:i/>
          <w:iCs/>
          <w:sz w:val="24"/>
          <w:szCs w:val="24"/>
        </w:rPr>
        <w:t xml:space="preserve"> </w:t>
      </w:r>
    </w:p>
    <w:p w14:paraId="23356B3F" w14:textId="77777777" w:rsidR="00203ED1" w:rsidRPr="003104D3" w:rsidRDefault="00203ED1" w:rsidP="00203ED1">
      <w:pPr>
        <w:pStyle w:val="NormalWeb"/>
        <w:spacing w:before="0" w:beforeAutospacing="0" w:after="0" w:afterAutospacing="0" w:line="360" w:lineRule="auto"/>
        <w:jc w:val="both"/>
        <w:rPr>
          <w:rFonts w:asciiTheme="minorHAnsi" w:hAnsiTheme="minorHAnsi" w:cstheme="minorHAnsi"/>
          <w:color w:val="000000"/>
          <w:sz w:val="27"/>
          <w:szCs w:val="27"/>
        </w:rPr>
      </w:pPr>
    </w:p>
    <w:p w14:paraId="53600FBA" w14:textId="7C477F17" w:rsidR="00203ED1" w:rsidRDefault="00203ED1" w:rsidP="00A07E91">
      <w:pPr>
        <w:spacing w:after="0" w:line="360" w:lineRule="auto"/>
        <w:jc w:val="both"/>
        <w:rPr>
          <w:rFonts w:cstheme="minorHAnsi"/>
          <w:color w:val="000000"/>
          <w:position w:val="6"/>
          <w:sz w:val="27"/>
          <w:szCs w:val="27"/>
          <w:lang w:eastAsia="es-MX"/>
        </w:rPr>
      </w:pPr>
      <w:r w:rsidRPr="003104D3">
        <w:rPr>
          <w:rFonts w:cstheme="minorHAnsi"/>
          <w:color w:val="000000"/>
          <w:position w:val="6"/>
          <w:sz w:val="27"/>
          <w:szCs w:val="27"/>
          <w:lang w:eastAsia="es-MX"/>
        </w:rPr>
        <w:t xml:space="preserve">En este sentido, </w:t>
      </w:r>
      <w:r w:rsidR="00A07E91">
        <w:rPr>
          <w:rFonts w:cstheme="minorHAnsi"/>
          <w:color w:val="000000"/>
          <w:position w:val="6"/>
          <w:sz w:val="27"/>
          <w:szCs w:val="27"/>
          <w:lang w:eastAsia="es-MX"/>
        </w:rPr>
        <w:t xml:space="preserve">la responsable consideró que la solicitud de plebiscito no podría examinarse al haberse presentado después de la ejecución del acto, y no previamente. </w:t>
      </w:r>
    </w:p>
    <w:p w14:paraId="5BE97733" w14:textId="4EF0B1E9" w:rsidR="00A07E91" w:rsidRDefault="00A07E91" w:rsidP="00A07E91">
      <w:pPr>
        <w:spacing w:after="0" w:line="360" w:lineRule="auto"/>
        <w:jc w:val="both"/>
        <w:rPr>
          <w:rFonts w:cstheme="minorHAnsi"/>
          <w:color w:val="000000"/>
          <w:sz w:val="27"/>
          <w:szCs w:val="27"/>
          <w:lang w:eastAsia="es-MX"/>
        </w:rPr>
      </w:pPr>
    </w:p>
    <w:p w14:paraId="02E62592" w14:textId="4BFA12E4" w:rsidR="00A07E91" w:rsidRDefault="00A07E91" w:rsidP="00A07E91">
      <w:pPr>
        <w:spacing w:after="0" w:line="360" w:lineRule="auto"/>
        <w:jc w:val="both"/>
        <w:rPr>
          <w:rFonts w:cstheme="minorHAnsi"/>
          <w:color w:val="000000"/>
          <w:sz w:val="27"/>
          <w:szCs w:val="27"/>
          <w:lang w:eastAsia="es-MX"/>
        </w:rPr>
      </w:pPr>
      <w:r>
        <w:rPr>
          <w:rFonts w:cstheme="minorHAnsi"/>
          <w:color w:val="000000"/>
          <w:sz w:val="27"/>
          <w:szCs w:val="27"/>
          <w:lang w:eastAsia="es-MX"/>
        </w:rPr>
        <w:t xml:space="preserve">Así el actor tampoco ofrece argumentos para combatir este razonamiento, de ahí que su agravio resulte también inoperante. </w:t>
      </w:r>
    </w:p>
    <w:p w14:paraId="53B3A1A0" w14:textId="2D4C4713" w:rsidR="00A07E91" w:rsidRDefault="00A07E91" w:rsidP="00A07E91">
      <w:pPr>
        <w:spacing w:after="0" w:line="360" w:lineRule="auto"/>
        <w:jc w:val="both"/>
        <w:rPr>
          <w:rFonts w:cstheme="minorHAnsi"/>
          <w:color w:val="000000"/>
          <w:sz w:val="27"/>
          <w:szCs w:val="27"/>
          <w:lang w:eastAsia="es-MX"/>
        </w:rPr>
      </w:pPr>
    </w:p>
    <w:p w14:paraId="624F7679" w14:textId="6DD5316D" w:rsidR="00A07E91" w:rsidRPr="003104D3" w:rsidRDefault="00A07E91" w:rsidP="00A07E91">
      <w:pPr>
        <w:spacing w:after="0" w:line="360" w:lineRule="auto"/>
        <w:jc w:val="both"/>
        <w:rPr>
          <w:rFonts w:cstheme="minorHAnsi"/>
          <w:color w:val="000000"/>
          <w:sz w:val="27"/>
          <w:szCs w:val="27"/>
          <w:lang w:eastAsia="es-MX"/>
        </w:rPr>
      </w:pPr>
      <w:r>
        <w:rPr>
          <w:rFonts w:cstheme="minorHAnsi"/>
          <w:color w:val="000000"/>
          <w:sz w:val="27"/>
          <w:szCs w:val="27"/>
          <w:lang w:eastAsia="es-MX"/>
        </w:rPr>
        <w:t>Resulta aplicable la siguiente Tesis de Jurisprudencia:</w:t>
      </w:r>
    </w:p>
    <w:p w14:paraId="2748231F" w14:textId="77777777" w:rsidR="00203ED1" w:rsidRPr="003104D3" w:rsidRDefault="00203ED1" w:rsidP="00A07E91">
      <w:pPr>
        <w:spacing w:after="0" w:line="360" w:lineRule="auto"/>
        <w:jc w:val="both"/>
        <w:rPr>
          <w:rFonts w:cstheme="minorHAnsi"/>
          <w:color w:val="000000"/>
          <w:sz w:val="27"/>
          <w:szCs w:val="27"/>
          <w:lang w:eastAsia="es-MX"/>
        </w:rPr>
      </w:pPr>
      <w:r w:rsidRPr="003104D3">
        <w:rPr>
          <w:rFonts w:cstheme="minorHAnsi"/>
          <w:color w:val="000000"/>
          <w:position w:val="6"/>
          <w:sz w:val="27"/>
          <w:szCs w:val="27"/>
          <w:lang w:eastAsia="es-MX"/>
        </w:rPr>
        <w:t> </w:t>
      </w:r>
    </w:p>
    <w:p w14:paraId="157819DB" w14:textId="77777777" w:rsidR="00203ED1" w:rsidRPr="00D66E11" w:rsidRDefault="00203ED1" w:rsidP="00A07E91">
      <w:pPr>
        <w:spacing w:after="0" w:line="240" w:lineRule="auto"/>
        <w:ind w:left="1134"/>
        <w:jc w:val="both"/>
        <w:rPr>
          <w:rFonts w:cstheme="minorHAnsi"/>
          <w:color w:val="000000"/>
          <w:sz w:val="24"/>
          <w:szCs w:val="24"/>
          <w:lang w:eastAsia="es-MX"/>
        </w:rPr>
      </w:pPr>
      <w:r w:rsidRPr="00D66E11">
        <w:rPr>
          <w:rFonts w:cstheme="minorHAnsi"/>
          <w:color w:val="000000"/>
          <w:position w:val="6"/>
          <w:sz w:val="24"/>
          <w:szCs w:val="24"/>
          <w:lang w:eastAsia="es-MX"/>
        </w:rPr>
        <w:lastRenderedPageBreak/>
        <w:t>Época: Octava Época</w:t>
      </w:r>
    </w:p>
    <w:p w14:paraId="3B84A5E0" w14:textId="77777777" w:rsidR="00203ED1" w:rsidRPr="00D66E11" w:rsidRDefault="00203ED1" w:rsidP="00A07E91">
      <w:pPr>
        <w:spacing w:after="0" w:line="240" w:lineRule="auto"/>
        <w:ind w:left="1134"/>
        <w:jc w:val="both"/>
        <w:rPr>
          <w:rFonts w:cstheme="minorHAnsi"/>
          <w:color w:val="000000"/>
          <w:sz w:val="24"/>
          <w:szCs w:val="24"/>
          <w:lang w:eastAsia="es-MX"/>
        </w:rPr>
      </w:pPr>
      <w:r w:rsidRPr="00D66E11">
        <w:rPr>
          <w:rFonts w:cstheme="minorHAnsi"/>
          <w:color w:val="000000"/>
          <w:position w:val="6"/>
          <w:sz w:val="24"/>
          <w:szCs w:val="24"/>
          <w:lang w:eastAsia="es-MX"/>
        </w:rPr>
        <w:t>Registro: 209202</w:t>
      </w:r>
    </w:p>
    <w:p w14:paraId="6ADC4881" w14:textId="77777777" w:rsidR="00203ED1" w:rsidRPr="00D66E11" w:rsidRDefault="00203ED1" w:rsidP="00A07E91">
      <w:pPr>
        <w:spacing w:after="0" w:line="240" w:lineRule="auto"/>
        <w:ind w:left="1134"/>
        <w:jc w:val="both"/>
        <w:rPr>
          <w:rFonts w:cstheme="minorHAnsi"/>
          <w:color w:val="000000"/>
          <w:sz w:val="24"/>
          <w:szCs w:val="24"/>
          <w:lang w:eastAsia="es-MX"/>
        </w:rPr>
      </w:pPr>
      <w:r w:rsidRPr="00D66E11">
        <w:rPr>
          <w:rFonts w:cstheme="minorHAnsi"/>
          <w:color w:val="000000"/>
          <w:position w:val="6"/>
          <w:sz w:val="24"/>
          <w:szCs w:val="24"/>
          <w:lang w:eastAsia="es-MX"/>
        </w:rPr>
        <w:t>Instancia: Tribunales Colegiados de Circuito</w:t>
      </w:r>
    </w:p>
    <w:p w14:paraId="1FD67DAB" w14:textId="77777777" w:rsidR="00203ED1" w:rsidRPr="00D66E11" w:rsidRDefault="00203ED1" w:rsidP="00A07E91">
      <w:pPr>
        <w:spacing w:after="0" w:line="240" w:lineRule="auto"/>
        <w:ind w:left="1134"/>
        <w:jc w:val="both"/>
        <w:rPr>
          <w:rFonts w:cstheme="minorHAnsi"/>
          <w:color w:val="000000"/>
          <w:sz w:val="24"/>
          <w:szCs w:val="24"/>
          <w:lang w:eastAsia="es-MX"/>
        </w:rPr>
      </w:pPr>
      <w:r w:rsidRPr="00D66E11">
        <w:rPr>
          <w:rFonts w:cstheme="minorHAnsi"/>
          <w:color w:val="000000"/>
          <w:position w:val="6"/>
          <w:sz w:val="24"/>
          <w:szCs w:val="24"/>
          <w:lang w:eastAsia="es-MX"/>
        </w:rPr>
        <w:t>Tipo de Tesis: Jurisprudencia</w:t>
      </w:r>
    </w:p>
    <w:p w14:paraId="029FC5E4" w14:textId="77777777" w:rsidR="00203ED1" w:rsidRPr="00D66E11" w:rsidRDefault="00203ED1" w:rsidP="00A07E91">
      <w:pPr>
        <w:spacing w:after="0" w:line="240" w:lineRule="auto"/>
        <w:ind w:left="1134"/>
        <w:jc w:val="both"/>
        <w:rPr>
          <w:rFonts w:cstheme="minorHAnsi"/>
          <w:color w:val="000000"/>
          <w:sz w:val="24"/>
          <w:szCs w:val="24"/>
          <w:lang w:eastAsia="es-MX"/>
        </w:rPr>
      </w:pPr>
      <w:r w:rsidRPr="00D66E11">
        <w:rPr>
          <w:rFonts w:cstheme="minorHAnsi"/>
          <w:color w:val="000000"/>
          <w:position w:val="6"/>
          <w:sz w:val="24"/>
          <w:szCs w:val="24"/>
          <w:lang w:eastAsia="es-MX"/>
        </w:rPr>
        <w:t>Fuente: Gaceta del Semanario Judicial de la Federación</w:t>
      </w:r>
    </w:p>
    <w:p w14:paraId="46777B38" w14:textId="77777777" w:rsidR="00203ED1" w:rsidRPr="00D66E11" w:rsidRDefault="00203ED1" w:rsidP="00A07E91">
      <w:pPr>
        <w:spacing w:after="0" w:line="240" w:lineRule="auto"/>
        <w:ind w:left="1134"/>
        <w:jc w:val="both"/>
        <w:rPr>
          <w:rFonts w:cstheme="minorHAnsi"/>
          <w:color w:val="000000"/>
          <w:sz w:val="24"/>
          <w:szCs w:val="24"/>
          <w:lang w:eastAsia="es-MX"/>
        </w:rPr>
      </w:pPr>
      <w:r w:rsidRPr="00D66E11">
        <w:rPr>
          <w:rFonts w:cstheme="minorHAnsi"/>
          <w:color w:val="000000"/>
          <w:position w:val="6"/>
          <w:sz w:val="24"/>
          <w:szCs w:val="24"/>
          <w:lang w:eastAsia="es-MX"/>
        </w:rPr>
        <w:t xml:space="preserve">Núm. 86, </w:t>
      </w:r>
      <w:proofErr w:type="gramStart"/>
      <w:r w:rsidRPr="00D66E11">
        <w:rPr>
          <w:rFonts w:cstheme="minorHAnsi"/>
          <w:color w:val="000000"/>
          <w:position w:val="6"/>
          <w:sz w:val="24"/>
          <w:szCs w:val="24"/>
          <w:lang w:eastAsia="es-MX"/>
        </w:rPr>
        <w:t>Febrero</w:t>
      </w:r>
      <w:proofErr w:type="gramEnd"/>
      <w:r w:rsidRPr="00D66E11">
        <w:rPr>
          <w:rFonts w:cstheme="minorHAnsi"/>
          <w:color w:val="000000"/>
          <w:position w:val="6"/>
          <w:sz w:val="24"/>
          <w:szCs w:val="24"/>
          <w:lang w:eastAsia="es-MX"/>
        </w:rPr>
        <w:t xml:space="preserve"> de 1995</w:t>
      </w:r>
    </w:p>
    <w:p w14:paraId="70BEE072" w14:textId="77777777" w:rsidR="00203ED1" w:rsidRPr="00D66E11" w:rsidRDefault="00203ED1" w:rsidP="00A07E91">
      <w:pPr>
        <w:spacing w:after="0" w:line="240" w:lineRule="auto"/>
        <w:ind w:left="1134"/>
        <w:jc w:val="both"/>
        <w:rPr>
          <w:rFonts w:cstheme="minorHAnsi"/>
          <w:color w:val="000000"/>
          <w:sz w:val="24"/>
          <w:szCs w:val="24"/>
          <w:lang w:eastAsia="es-MX"/>
        </w:rPr>
      </w:pPr>
      <w:r w:rsidRPr="00D66E11">
        <w:rPr>
          <w:rFonts w:cstheme="minorHAnsi"/>
          <w:color w:val="000000"/>
          <w:position w:val="6"/>
          <w:sz w:val="24"/>
          <w:szCs w:val="24"/>
          <w:lang w:eastAsia="es-MX"/>
        </w:rPr>
        <w:t>Materia(s): Común</w:t>
      </w:r>
    </w:p>
    <w:p w14:paraId="65B562BC" w14:textId="77777777" w:rsidR="00203ED1" w:rsidRPr="00D66E11" w:rsidRDefault="00203ED1" w:rsidP="00A07E91">
      <w:pPr>
        <w:spacing w:after="0" w:line="240" w:lineRule="auto"/>
        <w:ind w:left="1134"/>
        <w:jc w:val="both"/>
        <w:rPr>
          <w:rFonts w:cstheme="minorHAnsi"/>
          <w:color w:val="000000"/>
          <w:sz w:val="24"/>
          <w:szCs w:val="24"/>
          <w:lang w:eastAsia="es-MX"/>
        </w:rPr>
      </w:pPr>
      <w:r w:rsidRPr="00D66E11">
        <w:rPr>
          <w:rFonts w:cstheme="minorHAnsi"/>
          <w:color w:val="000000"/>
          <w:position w:val="6"/>
          <w:sz w:val="24"/>
          <w:szCs w:val="24"/>
          <w:lang w:eastAsia="es-MX"/>
        </w:rPr>
        <w:t>Tesis: I.6o.C</w:t>
      </w:r>
      <w:r w:rsidRPr="00D66E11">
        <w:rPr>
          <w:rFonts w:cstheme="minorHAnsi"/>
          <w:b/>
          <w:bCs/>
          <w:color w:val="000000"/>
          <w:position w:val="6"/>
          <w:sz w:val="24"/>
          <w:szCs w:val="24"/>
          <w:lang w:eastAsia="es-MX"/>
        </w:rPr>
        <w:t>. J/20</w:t>
      </w:r>
    </w:p>
    <w:p w14:paraId="7A99A0BB" w14:textId="77777777" w:rsidR="00203ED1" w:rsidRPr="00D66E11" w:rsidRDefault="00203ED1" w:rsidP="00A07E91">
      <w:pPr>
        <w:spacing w:after="0" w:line="240" w:lineRule="auto"/>
        <w:ind w:left="1134"/>
        <w:jc w:val="both"/>
        <w:rPr>
          <w:rFonts w:cstheme="minorHAnsi"/>
          <w:color w:val="000000"/>
          <w:sz w:val="24"/>
          <w:szCs w:val="24"/>
          <w:lang w:eastAsia="es-MX"/>
        </w:rPr>
      </w:pPr>
      <w:r w:rsidRPr="00D66E11">
        <w:rPr>
          <w:rFonts w:cstheme="minorHAnsi"/>
          <w:color w:val="000000"/>
          <w:position w:val="6"/>
          <w:sz w:val="24"/>
          <w:szCs w:val="24"/>
          <w:lang w:eastAsia="es-MX"/>
        </w:rPr>
        <w:t>Página: 25</w:t>
      </w:r>
    </w:p>
    <w:p w14:paraId="72B82F59" w14:textId="77777777" w:rsidR="00203ED1" w:rsidRPr="00D66E11" w:rsidRDefault="00203ED1" w:rsidP="00A07E91">
      <w:pPr>
        <w:spacing w:after="0" w:line="240" w:lineRule="auto"/>
        <w:ind w:left="1134"/>
        <w:jc w:val="both"/>
        <w:rPr>
          <w:rFonts w:cstheme="minorHAnsi"/>
          <w:color w:val="000000"/>
          <w:sz w:val="24"/>
          <w:szCs w:val="24"/>
          <w:lang w:eastAsia="es-MX"/>
        </w:rPr>
      </w:pPr>
      <w:r w:rsidRPr="00D66E11">
        <w:rPr>
          <w:rFonts w:cstheme="minorHAnsi"/>
          <w:color w:val="000000"/>
          <w:position w:val="6"/>
          <w:sz w:val="24"/>
          <w:szCs w:val="24"/>
          <w:lang w:eastAsia="es-MX"/>
        </w:rPr>
        <w:t> </w:t>
      </w:r>
    </w:p>
    <w:p w14:paraId="1EFD6EA2" w14:textId="77777777" w:rsidR="00203ED1" w:rsidRPr="00D66E11" w:rsidRDefault="00203ED1" w:rsidP="00A07E91">
      <w:pPr>
        <w:spacing w:after="0" w:line="240" w:lineRule="auto"/>
        <w:ind w:left="1134"/>
        <w:jc w:val="both"/>
        <w:rPr>
          <w:rFonts w:cstheme="minorHAnsi"/>
          <w:color w:val="000000"/>
          <w:sz w:val="24"/>
          <w:szCs w:val="24"/>
          <w:lang w:eastAsia="es-MX"/>
        </w:rPr>
      </w:pPr>
      <w:r w:rsidRPr="00D66E11">
        <w:rPr>
          <w:rFonts w:cstheme="minorHAnsi"/>
          <w:b/>
          <w:bCs/>
          <w:color w:val="000000"/>
          <w:position w:val="6"/>
          <w:sz w:val="24"/>
          <w:szCs w:val="24"/>
          <w:lang w:eastAsia="es-MX"/>
        </w:rPr>
        <w:t>CONCEPTOS DE VIOLACIÓN INOPERANTES, CUANDO NO CONTROVIERTEN TODAS LAS CONSIDERACIONES DE LA SENTENCIA RECLAMADA. </w:t>
      </w:r>
      <w:r w:rsidRPr="00D66E11">
        <w:rPr>
          <w:rFonts w:cstheme="minorHAnsi"/>
          <w:color w:val="000000"/>
          <w:position w:val="6"/>
          <w:sz w:val="24"/>
          <w:szCs w:val="24"/>
          <w:lang w:eastAsia="es-MX"/>
        </w:rPr>
        <w:t>Cuando son varias las consideraciones legales en que descansa la sentencia reclamada y los conceptos de violación no controvierten la totalidad de éstas, los mismos resultan inoperantes, porque aun en el caso de que fueran fundados, no bastarían para determinar el otorgamiento del amparo, debido a la deficiencia en el ataque de los fundamentos en que se sustenta el referido fallo, los que con tal motivo quedarían firmes, rigiendo a éste.</w:t>
      </w:r>
    </w:p>
    <w:p w14:paraId="7B89F5B8" w14:textId="77777777" w:rsidR="00203ED1" w:rsidRPr="003104D3" w:rsidRDefault="00203ED1" w:rsidP="00203ED1">
      <w:pPr>
        <w:ind w:left="1134"/>
        <w:jc w:val="both"/>
        <w:rPr>
          <w:rFonts w:cstheme="minorHAnsi"/>
          <w:color w:val="000000"/>
          <w:sz w:val="27"/>
          <w:szCs w:val="27"/>
          <w:lang w:eastAsia="es-MX"/>
        </w:rPr>
      </w:pPr>
      <w:r w:rsidRPr="003104D3">
        <w:rPr>
          <w:rFonts w:cstheme="minorHAnsi"/>
          <w:color w:val="000000"/>
          <w:position w:val="6"/>
          <w:sz w:val="27"/>
          <w:szCs w:val="27"/>
          <w:lang w:eastAsia="es-MX"/>
        </w:rPr>
        <w:t> </w:t>
      </w:r>
    </w:p>
    <w:p w14:paraId="689CC6D6" w14:textId="6472271C" w:rsidR="00176F8F" w:rsidRPr="00A07E91" w:rsidRDefault="00203ED1" w:rsidP="00A07E91">
      <w:pPr>
        <w:spacing w:line="360" w:lineRule="auto"/>
        <w:jc w:val="both"/>
        <w:rPr>
          <w:rFonts w:cstheme="minorHAnsi"/>
          <w:color w:val="000000"/>
          <w:sz w:val="27"/>
          <w:szCs w:val="27"/>
          <w:lang w:eastAsia="es-MX"/>
        </w:rPr>
      </w:pPr>
      <w:r w:rsidRPr="003104D3">
        <w:rPr>
          <w:rFonts w:cstheme="minorHAnsi"/>
          <w:color w:val="000000"/>
          <w:position w:val="6"/>
          <w:sz w:val="27"/>
          <w:szCs w:val="27"/>
          <w:lang w:eastAsia="es-MX"/>
        </w:rPr>
        <w:t> De lo trasunto, se hace patente que cuando el recurrente no opone reparo a las cuestiones fundamentales en que se sustentó el fallo, estas siguen rigiendo en su sentido, lo que implica una imposibilidad para esta autoridad de revertirlo, así, en el caso en comento, sucede que la</w:t>
      </w:r>
      <w:r w:rsidR="00A07E91">
        <w:rPr>
          <w:rFonts w:cstheme="minorHAnsi"/>
          <w:color w:val="000000"/>
          <w:position w:val="6"/>
          <w:sz w:val="27"/>
          <w:szCs w:val="27"/>
          <w:lang w:eastAsia="es-MX"/>
        </w:rPr>
        <w:t xml:space="preserve">s razones que el Tribunal Electoral de Jalisco tomó en cuenta para revocar la resolución del Recurso de Revisión, no son combatidas frontalmente y por tanto deben seguir rigiendo. </w:t>
      </w:r>
      <w:r w:rsidRPr="003104D3">
        <w:rPr>
          <w:rFonts w:cstheme="minorHAnsi"/>
          <w:sz w:val="27"/>
          <w:szCs w:val="27"/>
        </w:rPr>
        <w:t xml:space="preserve"> </w:t>
      </w:r>
    </w:p>
    <w:p w14:paraId="09B33BD5" w14:textId="5AC90D93" w:rsidR="00322A31" w:rsidRDefault="00322A31" w:rsidP="00E94B7B">
      <w:pPr>
        <w:spacing w:after="0" w:line="360" w:lineRule="auto"/>
        <w:jc w:val="both"/>
        <w:rPr>
          <w:rFonts w:cstheme="minorHAnsi"/>
          <w:sz w:val="27"/>
          <w:szCs w:val="27"/>
          <w:lang w:val="es-ES" w:eastAsia="es-ES"/>
        </w:rPr>
      </w:pPr>
    </w:p>
    <w:p w14:paraId="24BA3282" w14:textId="1857AA03" w:rsidR="00C52A12" w:rsidRPr="00C52A12" w:rsidRDefault="00C52A12" w:rsidP="00C52A12">
      <w:pPr>
        <w:spacing w:after="0" w:line="360" w:lineRule="auto"/>
        <w:jc w:val="both"/>
        <w:rPr>
          <w:rFonts w:cstheme="minorHAnsi"/>
          <w:sz w:val="27"/>
          <w:szCs w:val="27"/>
          <w:lang w:val="es-ES" w:eastAsia="es-ES"/>
        </w:rPr>
      </w:pPr>
      <w:r w:rsidRPr="00C52A12">
        <w:rPr>
          <w:rFonts w:cstheme="minorHAnsi"/>
          <w:sz w:val="27"/>
          <w:szCs w:val="27"/>
          <w:lang w:val="es-ES" w:eastAsia="es-ES"/>
        </w:rPr>
        <w:t>Cabe indicar que la presente determinación se realiza en atención al Acuerdo General 8/2020 de la Sala Superior de este Tribunal, por el que se reanuda la resolución de todos los medios de impugnación</w:t>
      </w:r>
      <w:r>
        <w:rPr>
          <w:rStyle w:val="Refdenotaalpie"/>
          <w:rFonts w:cstheme="minorHAnsi"/>
          <w:sz w:val="27"/>
          <w:szCs w:val="27"/>
          <w:lang w:val="es-ES" w:eastAsia="es-ES"/>
        </w:rPr>
        <w:footnoteReference w:id="4"/>
      </w:r>
      <w:r w:rsidRPr="00C52A12">
        <w:rPr>
          <w:rFonts w:cstheme="minorHAnsi"/>
          <w:sz w:val="27"/>
          <w:szCs w:val="27"/>
          <w:lang w:val="es-ES" w:eastAsia="es-ES"/>
        </w:rPr>
        <w:t>.</w:t>
      </w:r>
    </w:p>
    <w:p w14:paraId="7FD99F81" w14:textId="77777777" w:rsidR="00C52A12" w:rsidRDefault="00C52A12" w:rsidP="00E94B7B">
      <w:pPr>
        <w:spacing w:after="0" w:line="360" w:lineRule="auto"/>
        <w:jc w:val="both"/>
        <w:rPr>
          <w:rFonts w:cstheme="minorHAnsi"/>
          <w:sz w:val="27"/>
          <w:szCs w:val="27"/>
          <w:lang w:val="es-ES" w:eastAsia="es-ES"/>
        </w:rPr>
      </w:pPr>
    </w:p>
    <w:p w14:paraId="3C0B08C3" w14:textId="77777777" w:rsidR="002624D9" w:rsidRPr="00E53C3B" w:rsidRDefault="002624D9" w:rsidP="00E94B7B">
      <w:pPr>
        <w:spacing w:after="0" w:line="360" w:lineRule="auto"/>
        <w:jc w:val="both"/>
        <w:rPr>
          <w:rFonts w:cstheme="minorHAnsi"/>
          <w:bCs/>
          <w:sz w:val="27"/>
          <w:szCs w:val="27"/>
        </w:rPr>
      </w:pPr>
      <w:r w:rsidRPr="00E53C3B">
        <w:rPr>
          <w:rFonts w:cstheme="minorHAnsi"/>
          <w:bCs/>
          <w:sz w:val="27"/>
          <w:szCs w:val="27"/>
        </w:rPr>
        <w:t>Por lo expuesto y fundado, esta Sala Regional</w:t>
      </w:r>
    </w:p>
    <w:p w14:paraId="0E5BE507" w14:textId="77777777" w:rsidR="0004021A" w:rsidRPr="00E53C3B" w:rsidRDefault="0004021A" w:rsidP="00E94B7B">
      <w:pPr>
        <w:spacing w:after="0" w:line="360" w:lineRule="auto"/>
        <w:jc w:val="both"/>
        <w:rPr>
          <w:rFonts w:cstheme="minorHAnsi"/>
          <w:b/>
          <w:bCs/>
          <w:sz w:val="27"/>
          <w:szCs w:val="27"/>
        </w:rPr>
      </w:pPr>
    </w:p>
    <w:p w14:paraId="766DFC41" w14:textId="77777777" w:rsidR="00FC329E" w:rsidRPr="00E53C3B" w:rsidRDefault="00FC329E" w:rsidP="00E94B7B">
      <w:pPr>
        <w:keepNext/>
        <w:spacing w:after="0" w:line="360" w:lineRule="auto"/>
        <w:jc w:val="center"/>
        <w:rPr>
          <w:rFonts w:cstheme="minorHAnsi"/>
          <w:b/>
          <w:sz w:val="27"/>
          <w:szCs w:val="27"/>
        </w:rPr>
      </w:pPr>
      <w:r w:rsidRPr="00E53C3B">
        <w:rPr>
          <w:rFonts w:cstheme="minorHAnsi"/>
          <w:b/>
          <w:sz w:val="27"/>
          <w:szCs w:val="27"/>
        </w:rPr>
        <w:t>R E S U E L V E</w:t>
      </w:r>
    </w:p>
    <w:p w14:paraId="74734B16" w14:textId="77777777" w:rsidR="00FC329E" w:rsidRPr="00E53C3B" w:rsidRDefault="00FC329E" w:rsidP="00E94B7B">
      <w:pPr>
        <w:spacing w:after="0" w:line="360" w:lineRule="auto"/>
        <w:jc w:val="both"/>
        <w:rPr>
          <w:rFonts w:cstheme="minorHAnsi"/>
          <w:sz w:val="27"/>
          <w:szCs w:val="27"/>
        </w:rPr>
      </w:pPr>
    </w:p>
    <w:p w14:paraId="09702801" w14:textId="2B191ECD" w:rsidR="00FC329E" w:rsidRPr="00E53C3B" w:rsidRDefault="00E27AFD" w:rsidP="00E94B7B">
      <w:pPr>
        <w:spacing w:after="0" w:line="360" w:lineRule="auto"/>
        <w:jc w:val="both"/>
        <w:rPr>
          <w:rFonts w:cstheme="minorHAnsi"/>
          <w:sz w:val="27"/>
          <w:szCs w:val="27"/>
        </w:rPr>
      </w:pPr>
      <w:r>
        <w:rPr>
          <w:rFonts w:cstheme="minorHAnsi"/>
          <w:b/>
          <w:sz w:val="27"/>
          <w:szCs w:val="27"/>
        </w:rPr>
        <w:t>ÚNICO</w:t>
      </w:r>
      <w:r w:rsidR="00FC329E" w:rsidRPr="00E53C3B">
        <w:rPr>
          <w:rFonts w:cstheme="minorHAnsi"/>
          <w:b/>
          <w:sz w:val="27"/>
          <w:szCs w:val="27"/>
        </w:rPr>
        <w:t>.</w:t>
      </w:r>
      <w:r w:rsidR="00FC329E" w:rsidRPr="00E53C3B">
        <w:rPr>
          <w:rFonts w:cstheme="minorHAnsi"/>
          <w:sz w:val="27"/>
          <w:szCs w:val="27"/>
        </w:rPr>
        <w:t xml:space="preserve"> </w:t>
      </w:r>
      <w:r w:rsidR="00F329E9" w:rsidRPr="003429F0">
        <w:rPr>
          <w:rFonts w:cstheme="minorHAnsi"/>
          <w:sz w:val="27"/>
          <w:szCs w:val="27"/>
        </w:rPr>
        <w:t>Se</w:t>
      </w:r>
      <w:r w:rsidR="00F329E9" w:rsidRPr="003429F0">
        <w:rPr>
          <w:rFonts w:cstheme="minorHAnsi"/>
          <w:b/>
          <w:sz w:val="27"/>
          <w:szCs w:val="27"/>
        </w:rPr>
        <w:t xml:space="preserve"> </w:t>
      </w:r>
      <w:r>
        <w:rPr>
          <w:rFonts w:cstheme="minorHAnsi"/>
          <w:b/>
          <w:sz w:val="27"/>
          <w:szCs w:val="27"/>
        </w:rPr>
        <w:t>confirma</w:t>
      </w:r>
      <w:r w:rsidR="00F329E9" w:rsidRPr="003429F0">
        <w:rPr>
          <w:rFonts w:cstheme="minorHAnsi"/>
          <w:sz w:val="27"/>
          <w:szCs w:val="27"/>
        </w:rPr>
        <w:t xml:space="preserve"> la sentencia</w:t>
      </w:r>
      <w:r w:rsidR="00F329E9" w:rsidRPr="00E53C3B">
        <w:rPr>
          <w:rFonts w:cstheme="minorHAnsi"/>
          <w:sz w:val="27"/>
          <w:szCs w:val="27"/>
        </w:rPr>
        <w:t xml:space="preserve"> impugnada</w:t>
      </w:r>
      <w:r>
        <w:rPr>
          <w:rFonts w:cstheme="minorHAnsi"/>
          <w:sz w:val="27"/>
          <w:szCs w:val="27"/>
        </w:rPr>
        <w:t>.</w:t>
      </w:r>
    </w:p>
    <w:p w14:paraId="2EBB607E" w14:textId="77777777" w:rsidR="00FC329E" w:rsidRPr="00E53C3B" w:rsidRDefault="00FC329E" w:rsidP="00E94B7B">
      <w:pPr>
        <w:spacing w:after="0" w:line="360" w:lineRule="auto"/>
        <w:jc w:val="both"/>
        <w:rPr>
          <w:rFonts w:cstheme="minorHAnsi"/>
          <w:strike/>
          <w:sz w:val="27"/>
          <w:szCs w:val="27"/>
        </w:rPr>
      </w:pPr>
    </w:p>
    <w:p w14:paraId="6571891A" w14:textId="77777777" w:rsidR="0011636C" w:rsidRPr="00E53C3B" w:rsidRDefault="00FC329E" w:rsidP="00E94B7B">
      <w:pPr>
        <w:spacing w:after="0" w:line="360" w:lineRule="auto"/>
        <w:jc w:val="both"/>
        <w:rPr>
          <w:rFonts w:cstheme="minorHAnsi"/>
          <w:sz w:val="27"/>
          <w:szCs w:val="27"/>
        </w:rPr>
      </w:pPr>
      <w:r w:rsidRPr="00E53C3B">
        <w:rPr>
          <w:rFonts w:cstheme="minorHAnsi"/>
          <w:b/>
          <w:sz w:val="27"/>
          <w:szCs w:val="27"/>
        </w:rPr>
        <w:lastRenderedPageBreak/>
        <w:t xml:space="preserve">Notifíquese </w:t>
      </w:r>
      <w:r w:rsidRPr="00E53C3B">
        <w:rPr>
          <w:rFonts w:cstheme="minorHAnsi"/>
          <w:sz w:val="27"/>
          <w:szCs w:val="27"/>
        </w:rPr>
        <w:t xml:space="preserve">a las partes en los términos de ley y, en su oportunidad, </w:t>
      </w:r>
      <w:r w:rsidRPr="00E53C3B">
        <w:rPr>
          <w:rFonts w:cstheme="minorHAnsi"/>
          <w:b/>
          <w:sz w:val="27"/>
          <w:szCs w:val="27"/>
        </w:rPr>
        <w:t>archívese</w:t>
      </w:r>
      <w:r w:rsidRPr="00E53C3B">
        <w:rPr>
          <w:rFonts w:cstheme="minorHAnsi"/>
          <w:sz w:val="27"/>
          <w:szCs w:val="27"/>
        </w:rPr>
        <w:t xml:space="preserve"> el presente expediente como asunto concluido.</w:t>
      </w:r>
    </w:p>
    <w:p w14:paraId="4FA5A7A6" w14:textId="77777777" w:rsidR="00322A31" w:rsidRDefault="00322A31" w:rsidP="00E94B7B">
      <w:pPr>
        <w:autoSpaceDE w:val="0"/>
        <w:autoSpaceDN w:val="0"/>
        <w:adjustRightInd w:val="0"/>
        <w:spacing w:after="0" w:line="360" w:lineRule="auto"/>
        <w:jc w:val="both"/>
        <w:rPr>
          <w:rFonts w:cstheme="minorHAnsi"/>
          <w:sz w:val="27"/>
          <w:szCs w:val="27"/>
        </w:rPr>
      </w:pPr>
    </w:p>
    <w:p w14:paraId="211D7927" w14:textId="522F77D7" w:rsidR="00F526EE" w:rsidRDefault="00F526EE" w:rsidP="00E94B7B">
      <w:pPr>
        <w:autoSpaceDE w:val="0"/>
        <w:autoSpaceDN w:val="0"/>
        <w:adjustRightInd w:val="0"/>
        <w:spacing w:after="0" w:line="360" w:lineRule="auto"/>
        <w:jc w:val="both"/>
        <w:rPr>
          <w:rFonts w:cstheme="minorHAnsi"/>
          <w:sz w:val="27"/>
          <w:szCs w:val="27"/>
        </w:rPr>
      </w:pPr>
      <w:r>
        <w:rPr>
          <w:rFonts w:cstheme="minorHAnsi"/>
          <w:sz w:val="27"/>
          <w:szCs w:val="27"/>
        </w:rPr>
        <w:t xml:space="preserve">Así lo resolvieron por </w:t>
      </w:r>
      <w:r w:rsidR="00C52A12">
        <w:rPr>
          <w:rFonts w:cstheme="minorHAnsi"/>
          <w:sz w:val="27"/>
          <w:szCs w:val="27"/>
        </w:rPr>
        <w:t>unanimidad</w:t>
      </w:r>
      <w:r>
        <w:rPr>
          <w:rFonts w:cstheme="minorHAnsi"/>
          <w:sz w:val="27"/>
          <w:szCs w:val="27"/>
        </w:rPr>
        <w:t xml:space="preserve"> de votos, </w:t>
      </w:r>
      <w:r w:rsidR="00376532">
        <w:rPr>
          <w:rFonts w:cstheme="minorHAnsi"/>
          <w:sz w:val="27"/>
          <w:szCs w:val="27"/>
        </w:rPr>
        <w:t>el</w:t>
      </w:r>
      <w:r>
        <w:rPr>
          <w:rFonts w:cstheme="minorHAnsi"/>
          <w:sz w:val="27"/>
          <w:szCs w:val="27"/>
        </w:rPr>
        <w:t xml:space="preserve"> Magistrado</w:t>
      </w:r>
      <w:r w:rsidR="00376532">
        <w:rPr>
          <w:rFonts w:cstheme="minorHAnsi"/>
          <w:sz w:val="27"/>
          <w:szCs w:val="27"/>
        </w:rPr>
        <w:t xml:space="preserve"> Presidente Jorge Sánchez Morales, el Magistrado Electoral Sergio Arturo Guerrero Olvera</w:t>
      </w:r>
      <w:r w:rsidR="00E05537">
        <w:rPr>
          <w:rFonts w:cstheme="minorHAnsi"/>
          <w:sz w:val="27"/>
          <w:szCs w:val="27"/>
        </w:rPr>
        <w:t xml:space="preserve"> y el Secretario General</w:t>
      </w:r>
      <w:r w:rsidR="00376532">
        <w:rPr>
          <w:rFonts w:cstheme="minorHAnsi"/>
          <w:sz w:val="27"/>
          <w:szCs w:val="27"/>
        </w:rPr>
        <w:t xml:space="preserve"> de Acuerdos en </w:t>
      </w:r>
      <w:r w:rsidR="00E05537">
        <w:rPr>
          <w:rFonts w:cstheme="minorHAnsi"/>
          <w:sz w:val="27"/>
          <w:szCs w:val="27"/>
        </w:rPr>
        <w:t>funciones de Magistrado,</w:t>
      </w:r>
      <w:r w:rsidR="00376532">
        <w:rPr>
          <w:rFonts w:cstheme="minorHAnsi"/>
          <w:sz w:val="27"/>
          <w:szCs w:val="27"/>
        </w:rPr>
        <w:t xml:space="preserve"> Juan Carlos Medina Alvarado. El Secretario General de Acuerdos por Ministerio de Ley César Ulises Santana </w:t>
      </w:r>
      <w:r>
        <w:rPr>
          <w:rFonts w:cstheme="minorHAnsi"/>
          <w:sz w:val="27"/>
          <w:szCs w:val="27"/>
        </w:rPr>
        <w:t xml:space="preserve">certifica la votación obtenida, así como autoriza y da fe que la presente resolución se firma de manera electrónica. </w:t>
      </w:r>
    </w:p>
    <w:p w14:paraId="02BD8B96" w14:textId="77777777" w:rsidR="00D827D3" w:rsidRDefault="00D827D3" w:rsidP="00E94B7B">
      <w:pPr>
        <w:spacing w:after="0" w:line="360" w:lineRule="auto"/>
        <w:jc w:val="both"/>
        <w:rPr>
          <w:rFonts w:cstheme="minorHAnsi"/>
          <w:sz w:val="27"/>
          <w:szCs w:val="27"/>
        </w:rPr>
      </w:pPr>
    </w:p>
    <w:p w14:paraId="3CA0B8BB" w14:textId="77777777" w:rsidR="00D827D3" w:rsidRPr="00A76264" w:rsidRDefault="00D827D3" w:rsidP="00E94B7B">
      <w:pPr>
        <w:spacing w:after="0" w:line="360" w:lineRule="auto"/>
        <w:jc w:val="both"/>
        <w:rPr>
          <w:rFonts w:cstheme="minorHAnsi"/>
          <w:i/>
          <w:sz w:val="27"/>
          <w:szCs w:val="27"/>
        </w:rPr>
      </w:pPr>
      <w:r w:rsidRPr="00A76264">
        <w:rPr>
          <w:rFonts w:cstheme="minorHAnsi"/>
          <w:i/>
          <w:sz w:val="27"/>
          <w:szCs w:val="27"/>
        </w:rPr>
        <w:t>Este documento es una representación gráfica autorizada mediante firmas electrónicas certificadas, el cual tiene plena validez jurídica de conformidad con los numerales segundo y cuarto, así como el transitorio segundo,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7CDBC376" w14:textId="77777777" w:rsidR="00D827D3" w:rsidRPr="00E53C3B" w:rsidRDefault="00D827D3" w:rsidP="00E94B7B">
      <w:pPr>
        <w:spacing w:after="0" w:line="360" w:lineRule="auto"/>
        <w:jc w:val="both"/>
        <w:rPr>
          <w:rFonts w:cstheme="minorHAnsi"/>
          <w:sz w:val="27"/>
          <w:szCs w:val="27"/>
        </w:rPr>
      </w:pPr>
    </w:p>
    <w:sectPr w:rsidR="00D827D3" w:rsidRPr="00E53C3B" w:rsidSect="00172B27">
      <w:headerReference w:type="even" r:id="rId11"/>
      <w:headerReference w:type="default" r:id="rId12"/>
      <w:footerReference w:type="even" r:id="rId13"/>
      <w:footerReference w:type="default" r:id="rId14"/>
      <w:pgSz w:w="12240" w:h="20160" w:code="5"/>
      <w:pgMar w:top="1418" w:right="1418" w:bottom="1418" w:left="28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EAA44" w14:textId="77777777" w:rsidR="001D45C5" w:rsidRDefault="001D45C5" w:rsidP="009C0A48">
      <w:pPr>
        <w:spacing w:after="0" w:line="240" w:lineRule="auto"/>
      </w:pPr>
      <w:r>
        <w:separator/>
      </w:r>
    </w:p>
  </w:endnote>
  <w:endnote w:type="continuationSeparator" w:id="0">
    <w:p w14:paraId="6FB3FC0C" w14:textId="77777777" w:rsidR="001D45C5" w:rsidRDefault="001D45C5" w:rsidP="009C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6DF7" w14:textId="77777777" w:rsidR="00926F26" w:rsidRDefault="00926F26">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lang w:val="es-ES"/>
      </w:rPr>
      <w:t>2</w:t>
    </w:r>
    <w:r>
      <w:rPr>
        <w:caps/>
        <w:color w:val="5B9BD5" w:themeColor="accent1"/>
      </w:rPr>
      <w:fldChar w:fldCharType="end"/>
    </w:r>
  </w:p>
  <w:p w14:paraId="2AA38016" w14:textId="77777777" w:rsidR="00926F26" w:rsidRDefault="00926F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2F7A0" w14:textId="77777777" w:rsidR="00926F26" w:rsidRDefault="00926F26">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lang w:val="es-ES"/>
      </w:rPr>
      <w:t>2</w:t>
    </w:r>
    <w:r>
      <w:rPr>
        <w:caps/>
        <w:color w:val="5B9BD5" w:themeColor="accent1"/>
      </w:rPr>
      <w:fldChar w:fldCharType="end"/>
    </w:r>
  </w:p>
  <w:p w14:paraId="15326635" w14:textId="77777777" w:rsidR="00926F26" w:rsidRDefault="00926F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519E1" w14:textId="77777777" w:rsidR="001D45C5" w:rsidRDefault="001D45C5" w:rsidP="009C0A48">
      <w:pPr>
        <w:spacing w:after="0" w:line="240" w:lineRule="auto"/>
      </w:pPr>
      <w:r>
        <w:separator/>
      </w:r>
    </w:p>
  </w:footnote>
  <w:footnote w:type="continuationSeparator" w:id="0">
    <w:p w14:paraId="0B39AEDD" w14:textId="77777777" w:rsidR="001D45C5" w:rsidRDefault="001D45C5" w:rsidP="009C0A48">
      <w:pPr>
        <w:spacing w:after="0" w:line="240" w:lineRule="auto"/>
      </w:pPr>
      <w:r>
        <w:continuationSeparator/>
      </w:r>
    </w:p>
  </w:footnote>
  <w:footnote w:id="1">
    <w:p w14:paraId="3A64AA80" w14:textId="77777777" w:rsidR="00926F26" w:rsidRPr="0029707D" w:rsidRDefault="00926F26" w:rsidP="0029707D">
      <w:pPr>
        <w:pStyle w:val="Textonotapie"/>
        <w:jc w:val="both"/>
        <w:rPr>
          <w:rFonts w:asciiTheme="minorHAnsi" w:hAnsiTheme="minorHAnsi" w:cstheme="minorHAnsi"/>
          <w:lang w:val="es-MX"/>
        </w:rPr>
      </w:pPr>
      <w:r w:rsidRPr="00764A2C">
        <w:rPr>
          <w:rStyle w:val="Refdenotaalpie"/>
          <w:rFonts w:ascii="Arial" w:hAnsi="Arial" w:cs="Arial"/>
        </w:rPr>
        <w:footnoteRef/>
      </w:r>
      <w:r w:rsidRPr="00764A2C">
        <w:rPr>
          <w:rFonts w:ascii="Arial" w:hAnsi="Arial" w:cs="Arial"/>
        </w:rPr>
        <w:t xml:space="preserve"> </w:t>
      </w:r>
      <w:r w:rsidRPr="0029707D">
        <w:rPr>
          <w:rFonts w:asciiTheme="minorHAnsi" w:hAnsiTheme="minorHAnsi" w:cstheme="minorHAnsi"/>
        </w:rPr>
        <w:t xml:space="preserve">Acuerdo dictado el 2 de abril de 2020, consultable en la página web de este Tribunal: </w:t>
      </w:r>
      <w:hyperlink r:id="rId1" w:history="1">
        <w:r w:rsidRPr="0029707D">
          <w:rPr>
            <w:rStyle w:val="Hipervnculo"/>
            <w:rFonts w:asciiTheme="minorHAnsi" w:hAnsiTheme="minorHAnsi" w:cstheme="minorHAnsi"/>
            <w:color w:val="auto"/>
            <w:u w:val="none"/>
          </w:rPr>
          <w:t>www.te.gob.mx</w:t>
        </w:r>
      </w:hyperlink>
    </w:p>
  </w:footnote>
  <w:footnote w:id="2">
    <w:p w14:paraId="42EDC3BF" w14:textId="77777777" w:rsidR="00926F26" w:rsidRPr="003240CB" w:rsidRDefault="00926F26" w:rsidP="0029707D">
      <w:pPr>
        <w:spacing w:after="0" w:line="240" w:lineRule="auto"/>
        <w:contextualSpacing/>
        <w:jc w:val="both"/>
        <w:rPr>
          <w:rFonts w:ascii="Arial" w:hAnsi="Arial" w:cs="Arial"/>
          <w:sz w:val="20"/>
          <w:szCs w:val="20"/>
          <w:lang w:eastAsia="es-ES"/>
        </w:rPr>
      </w:pPr>
      <w:r w:rsidRPr="0029707D">
        <w:rPr>
          <w:rStyle w:val="Refdenotaalpie"/>
          <w:rFonts w:cstheme="minorHAnsi"/>
          <w:sz w:val="20"/>
          <w:szCs w:val="20"/>
        </w:rPr>
        <w:footnoteRef/>
      </w:r>
      <w:r w:rsidRPr="0029707D">
        <w:rPr>
          <w:rFonts w:cstheme="minorHAnsi"/>
          <w:sz w:val="20"/>
          <w:szCs w:val="20"/>
        </w:rPr>
        <w:t xml:space="preserve"> Que establece el ámbito territorial de las cinco circunscripciones plurinominales y la entidad federativa cabecera de éstas, aprobado en sesión extraordinaria del Consejo General celebrada el veinte de julio de dos mil diecisiete y publicado en el Diario Oficial de la Federación el cuatro de septiembre de dos mil diecisiete.</w:t>
      </w:r>
    </w:p>
  </w:footnote>
  <w:footnote w:id="3">
    <w:p w14:paraId="7C1BCD0D" w14:textId="77777777" w:rsidR="00926F26" w:rsidRPr="006B4906" w:rsidRDefault="00926F26" w:rsidP="00EB6417">
      <w:pPr>
        <w:pStyle w:val="Textonotapie"/>
        <w:jc w:val="both"/>
        <w:rPr>
          <w:rFonts w:ascii="Arial" w:hAnsi="Arial" w:cs="Arial"/>
          <w:lang w:val="es-ES"/>
        </w:rPr>
      </w:pPr>
      <w:r w:rsidRPr="006B4906">
        <w:rPr>
          <w:rStyle w:val="Refdenotaalpie"/>
          <w:rFonts w:ascii="Arial" w:hAnsi="Arial" w:cs="Arial"/>
        </w:rPr>
        <w:footnoteRef/>
      </w:r>
      <w:r w:rsidRPr="006B4906">
        <w:rPr>
          <w:rFonts w:ascii="Arial" w:hAnsi="Arial" w:cs="Arial"/>
        </w:rPr>
        <w:t xml:space="preserve"> </w:t>
      </w:r>
      <w:r w:rsidRPr="00CC73B3">
        <w:rPr>
          <w:rFonts w:asciiTheme="minorHAnsi" w:hAnsiTheme="minorHAnsi" w:cstheme="minorHAnsi"/>
          <w:lang w:val="es-ES"/>
        </w:rPr>
        <w:t xml:space="preserve">Jurisprudencia 34/2016. </w:t>
      </w:r>
      <w:r w:rsidRPr="00CC73B3">
        <w:rPr>
          <w:rFonts w:asciiTheme="minorHAnsi" w:hAnsiTheme="minorHAnsi" w:cstheme="minorHAnsi"/>
          <w:color w:val="000000"/>
          <w:lang w:val="es-ES"/>
        </w:rPr>
        <w:t>Gaceta de Jurisprudencia y Tesis en materia electoral, Tribunal Electoral del Poder Judicial de la Federación, Año 9, Número 19, 2016, páginas 44 y 45.</w:t>
      </w:r>
    </w:p>
  </w:footnote>
  <w:footnote w:id="4">
    <w:p w14:paraId="7F44CE30" w14:textId="77777777" w:rsidR="00C52A12" w:rsidRPr="00C52A12" w:rsidRDefault="00C52A12" w:rsidP="00C52A12">
      <w:pPr>
        <w:spacing w:after="200" w:line="276" w:lineRule="auto"/>
        <w:jc w:val="both"/>
      </w:pPr>
      <w:r>
        <w:rPr>
          <w:rStyle w:val="Refdenotaalpie"/>
        </w:rPr>
        <w:footnoteRef/>
      </w:r>
      <w:r>
        <w:t xml:space="preserve"> Visible en</w:t>
      </w:r>
      <w:r w:rsidRPr="00C52A12">
        <w:rPr>
          <w:u w:val="single"/>
        </w:rPr>
        <w:t xml:space="preserve">: </w:t>
      </w:r>
      <w:hyperlink r:id="rId2" w:history="1">
        <w:r w:rsidRPr="00C52A12">
          <w:rPr>
            <w:rStyle w:val="Hipervnculo"/>
            <w:color w:val="auto"/>
          </w:rPr>
          <w:t>http://dof.gob.mx/nota_detalle.php?codigo=5602447&amp;fecha=13/10/2020</w:t>
        </w:r>
      </w:hyperlink>
    </w:p>
    <w:p w14:paraId="0DC6FCCE" w14:textId="2D066A13" w:rsidR="00C52A12" w:rsidRPr="00C52A12" w:rsidRDefault="00C52A12">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3D39" w14:textId="77777777" w:rsidR="00926F26" w:rsidRDefault="00926F26" w:rsidP="005259BA">
    <w:pPr>
      <w:pStyle w:val="Encabezado"/>
      <w:jc w:val="right"/>
      <w:rPr>
        <w:rFonts w:ascii="Arial" w:hAnsi="Arial" w:cs="Arial"/>
        <w:b/>
        <w:bCs/>
        <w:sz w:val="28"/>
        <w:szCs w:val="28"/>
      </w:rPr>
    </w:pPr>
  </w:p>
  <w:p w14:paraId="2AC177AB" w14:textId="6C415AB5" w:rsidR="00926F26" w:rsidRPr="00CB709E" w:rsidRDefault="00926F26" w:rsidP="005259BA">
    <w:pPr>
      <w:pStyle w:val="Encabezado"/>
      <w:jc w:val="right"/>
      <w:rPr>
        <w:rFonts w:cstheme="minorHAnsi"/>
        <w:b/>
        <w:bCs/>
        <w:sz w:val="24"/>
        <w:szCs w:val="24"/>
      </w:rPr>
    </w:pPr>
    <w:r w:rsidRPr="00CB709E">
      <w:rPr>
        <w:rFonts w:cstheme="minorHAnsi"/>
        <w:b/>
        <w:bCs/>
        <w:sz w:val="24"/>
        <w:szCs w:val="24"/>
      </w:rPr>
      <w:t>SG-JDC-112/2020</w:t>
    </w:r>
  </w:p>
  <w:p w14:paraId="5B18AB4B" w14:textId="77777777" w:rsidR="00926F26" w:rsidRDefault="00926F26" w:rsidP="005259BA">
    <w:pPr>
      <w:pStyle w:val="Encabezado"/>
      <w:jc w:val="right"/>
      <w:rPr>
        <w:rFonts w:ascii="Arial" w:hAnsi="Arial" w:cs="Arial"/>
        <w:b/>
        <w:sz w:val="28"/>
        <w:szCs w:val="28"/>
      </w:rPr>
    </w:pPr>
  </w:p>
  <w:p w14:paraId="5C7043B8" w14:textId="77777777" w:rsidR="00926F26" w:rsidRPr="005259BA" w:rsidRDefault="00926F26" w:rsidP="005259BA">
    <w:pPr>
      <w:pStyle w:val="Encabezado"/>
      <w:jc w:val="right"/>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8A3F" w14:textId="77777777" w:rsidR="00926F26" w:rsidRDefault="00926F26">
    <w:pPr>
      <w:pStyle w:val="Encabezado"/>
    </w:pPr>
    <w:r>
      <w:rPr>
        <w:noProof/>
      </w:rPr>
      <w:drawing>
        <wp:anchor distT="0" distB="0" distL="114300" distR="114300" simplePos="0" relativeHeight="251658240" behindDoc="0" locked="0" layoutInCell="1" allowOverlap="1" wp14:anchorId="2745901F" wp14:editId="32B6BE9E">
          <wp:simplePos x="0" y="0"/>
          <wp:positionH relativeFrom="column">
            <wp:posOffset>-1594485</wp:posOffset>
          </wp:positionH>
          <wp:positionV relativeFrom="paragraph">
            <wp:posOffset>445770</wp:posOffset>
          </wp:positionV>
          <wp:extent cx="1396365" cy="135953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1359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35D"/>
    <w:multiLevelType w:val="multilevel"/>
    <w:tmpl w:val="41E4292A"/>
    <w:lvl w:ilvl="0">
      <w:start w:val="3"/>
      <w:numFmt w:val="decimal"/>
      <w:lvlText w:val="%1"/>
      <w:lvlJc w:val="left"/>
      <w:pPr>
        <w:ind w:left="2426" w:hanging="375"/>
      </w:pPr>
      <w:rPr>
        <w:rFonts w:hint="default"/>
      </w:rPr>
    </w:lvl>
    <w:lvl w:ilvl="1">
      <w:start w:val="1"/>
      <w:numFmt w:val="decimal"/>
      <w:lvlText w:val="%1.%2"/>
      <w:lvlJc w:val="left"/>
      <w:pPr>
        <w:ind w:left="3131" w:hanging="720"/>
      </w:pPr>
      <w:rPr>
        <w:rFonts w:hint="default"/>
        <w:b/>
      </w:rPr>
    </w:lvl>
    <w:lvl w:ilvl="2">
      <w:start w:val="1"/>
      <w:numFmt w:val="decimal"/>
      <w:lvlText w:val="%1.%2.%3"/>
      <w:lvlJc w:val="left"/>
      <w:pPr>
        <w:ind w:left="3491" w:hanging="720"/>
      </w:pPr>
      <w:rPr>
        <w:rFonts w:hint="default"/>
      </w:rPr>
    </w:lvl>
    <w:lvl w:ilvl="3">
      <w:start w:val="1"/>
      <w:numFmt w:val="decimal"/>
      <w:lvlText w:val="%1.%2.%3.%4"/>
      <w:lvlJc w:val="left"/>
      <w:pPr>
        <w:ind w:left="4211" w:hanging="1080"/>
      </w:pPr>
      <w:rPr>
        <w:rFonts w:hint="default"/>
      </w:rPr>
    </w:lvl>
    <w:lvl w:ilvl="4">
      <w:start w:val="1"/>
      <w:numFmt w:val="decimal"/>
      <w:lvlText w:val="%1.%2.%3.%4.%5"/>
      <w:lvlJc w:val="left"/>
      <w:pPr>
        <w:ind w:left="4571" w:hanging="1080"/>
      </w:pPr>
      <w:rPr>
        <w:rFonts w:hint="default"/>
      </w:rPr>
    </w:lvl>
    <w:lvl w:ilvl="5">
      <w:start w:val="1"/>
      <w:numFmt w:val="decimal"/>
      <w:lvlText w:val="%1.%2.%3.%4.%5.%6"/>
      <w:lvlJc w:val="left"/>
      <w:pPr>
        <w:ind w:left="5291" w:hanging="1440"/>
      </w:pPr>
      <w:rPr>
        <w:rFonts w:hint="default"/>
      </w:rPr>
    </w:lvl>
    <w:lvl w:ilvl="6">
      <w:start w:val="1"/>
      <w:numFmt w:val="decimal"/>
      <w:lvlText w:val="%1.%2.%3.%4.%5.%6.%7"/>
      <w:lvlJc w:val="left"/>
      <w:pPr>
        <w:ind w:left="6011" w:hanging="1800"/>
      </w:pPr>
      <w:rPr>
        <w:rFonts w:hint="default"/>
      </w:rPr>
    </w:lvl>
    <w:lvl w:ilvl="7">
      <w:start w:val="1"/>
      <w:numFmt w:val="decimal"/>
      <w:lvlText w:val="%1.%2.%3.%4.%5.%6.%7.%8"/>
      <w:lvlJc w:val="left"/>
      <w:pPr>
        <w:ind w:left="6371" w:hanging="1800"/>
      </w:pPr>
      <w:rPr>
        <w:rFonts w:hint="default"/>
      </w:rPr>
    </w:lvl>
    <w:lvl w:ilvl="8">
      <w:start w:val="1"/>
      <w:numFmt w:val="decimal"/>
      <w:lvlText w:val="%1.%2.%3.%4.%5.%6.%7.%8.%9"/>
      <w:lvlJc w:val="left"/>
      <w:pPr>
        <w:ind w:left="7091" w:hanging="2160"/>
      </w:pPr>
      <w:rPr>
        <w:rFonts w:hint="default"/>
      </w:rPr>
    </w:lvl>
  </w:abstractNum>
  <w:abstractNum w:abstractNumId="1" w15:restartNumberingAfterBreak="0">
    <w:nsid w:val="084609DA"/>
    <w:multiLevelType w:val="hybridMultilevel"/>
    <w:tmpl w:val="F84AB430"/>
    <w:lvl w:ilvl="0" w:tplc="07A45E3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15EF2DAF"/>
    <w:multiLevelType w:val="hybridMultilevel"/>
    <w:tmpl w:val="E9C2625E"/>
    <w:lvl w:ilvl="0" w:tplc="2098A892">
      <w:start w:val="1"/>
      <w:numFmt w:val="decimal"/>
      <w:lvlText w:val="%1."/>
      <w:lvlJc w:val="left"/>
      <w:pPr>
        <w:ind w:left="720" w:hanging="360"/>
      </w:pPr>
      <w:rPr>
        <w:rFonts w:ascii="Univers Condensed" w:hAnsi="Univers Condensed" w:hint="default"/>
        <w:b w:val="0"/>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A172377"/>
    <w:multiLevelType w:val="hybridMultilevel"/>
    <w:tmpl w:val="8DE65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216B33"/>
    <w:multiLevelType w:val="multilevel"/>
    <w:tmpl w:val="B3E49F44"/>
    <w:lvl w:ilvl="0">
      <w:start w:val="2"/>
      <w:numFmt w:val="decimal"/>
      <w:lvlText w:val="%1"/>
      <w:lvlJc w:val="left"/>
      <w:pPr>
        <w:ind w:left="375" w:hanging="37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 w15:restartNumberingAfterBreak="0">
    <w:nsid w:val="21671CA9"/>
    <w:multiLevelType w:val="hybridMultilevel"/>
    <w:tmpl w:val="4C642E66"/>
    <w:lvl w:ilvl="0" w:tplc="4A3690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CD2505"/>
    <w:multiLevelType w:val="hybridMultilevel"/>
    <w:tmpl w:val="4C642E66"/>
    <w:lvl w:ilvl="0" w:tplc="4A3690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6F1A8C"/>
    <w:multiLevelType w:val="multilevel"/>
    <w:tmpl w:val="37B0AFD4"/>
    <w:lvl w:ilvl="0">
      <w:start w:val="2"/>
      <w:numFmt w:val="decimal"/>
      <w:lvlText w:val="%1"/>
      <w:lvlJc w:val="left"/>
      <w:pPr>
        <w:ind w:left="375" w:hanging="37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B104CD1"/>
    <w:multiLevelType w:val="hybridMultilevel"/>
    <w:tmpl w:val="FFE0DAF4"/>
    <w:lvl w:ilvl="0" w:tplc="628AD0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E37BD6"/>
    <w:multiLevelType w:val="hybridMultilevel"/>
    <w:tmpl w:val="AB08D4A6"/>
    <w:lvl w:ilvl="0" w:tplc="5E00A53A">
      <w:start w:val="1"/>
      <w:numFmt w:val="decimal"/>
      <w:lvlText w:val="%1."/>
      <w:lvlJc w:val="left"/>
      <w:pPr>
        <w:ind w:left="720" w:hanging="360"/>
      </w:pPr>
      <w:rPr>
        <w:rFonts w:hint="default"/>
        <w:b/>
        <w:sz w:val="2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8056D1"/>
    <w:multiLevelType w:val="hybridMultilevel"/>
    <w:tmpl w:val="2130912E"/>
    <w:lvl w:ilvl="0" w:tplc="059ED20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C65A28"/>
    <w:multiLevelType w:val="hybridMultilevel"/>
    <w:tmpl w:val="B93A836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6895777"/>
    <w:multiLevelType w:val="multilevel"/>
    <w:tmpl w:val="08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A90012"/>
    <w:multiLevelType w:val="hybridMultilevel"/>
    <w:tmpl w:val="146CED2E"/>
    <w:lvl w:ilvl="0" w:tplc="B16E7B3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A562A91"/>
    <w:multiLevelType w:val="multilevel"/>
    <w:tmpl w:val="B3E49F44"/>
    <w:lvl w:ilvl="0">
      <w:start w:val="2"/>
      <w:numFmt w:val="decimal"/>
      <w:lvlText w:val="%1"/>
      <w:lvlJc w:val="left"/>
      <w:pPr>
        <w:ind w:left="375" w:hanging="37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5" w15:restartNumberingAfterBreak="0">
    <w:nsid w:val="3B172661"/>
    <w:multiLevelType w:val="hybridMultilevel"/>
    <w:tmpl w:val="F47A7600"/>
    <w:lvl w:ilvl="0" w:tplc="52F05A20">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451007"/>
    <w:multiLevelType w:val="hybridMultilevel"/>
    <w:tmpl w:val="D6365724"/>
    <w:lvl w:ilvl="0" w:tplc="FDBA569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5D1F68"/>
    <w:multiLevelType w:val="hybridMultilevel"/>
    <w:tmpl w:val="213A2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2314D6"/>
    <w:multiLevelType w:val="hybridMultilevel"/>
    <w:tmpl w:val="DE7CC944"/>
    <w:lvl w:ilvl="0" w:tplc="EE14F2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962821"/>
    <w:multiLevelType w:val="hybridMultilevel"/>
    <w:tmpl w:val="B27CD2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1C50C8D"/>
    <w:multiLevelType w:val="hybridMultilevel"/>
    <w:tmpl w:val="4E324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6260E72"/>
    <w:multiLevelType w:val="hybridMultilevel"/>
    <w:tmpl w:val="CC3A43E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69A12231"/>
    <w:multiLevelType w:val="hybridMultilevel"/>
    <w:tmpl w:val="00CE2CB0"/>
    <w:lvl w:ilvl="0" w:tplc="B9407B8E">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ABC0AD2"/>
    <w:multiLevelType w:val="multilevel"/>
    <w:tmpl w:val="B958EC70"/>
    <w:lvl w:ilvl="0">
      <w:start w:val="1"/>
      <w:numFmt w:val="decimal"/>
      <w:lvlText w:val="%1"/>
      <w:lvlJc w:val="left"/>
      <w:pPr>
        <w:ind w:left="510" w:hanging="51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4" w15:restartNumberingAfterBreak="0">
    <w:nsid w:val="711D47A0"/>
    <w:multiLevelType w:val="hybridMultilevel"/>
    <w:tmpl w:val="41D60DEC"/>
    <w:lvl w:ilvl="0" w:tplc="686EBA04">
      <w:start w:val="1"/>
      <w:numFmt w:val="lowerLetter"/>
      <w:lvlText w:val="%1)"/>
      <w:lvlJc w:val="left"/>
      <w:pPr>
        <w:ind w:left="720" w:hanging="360"/>
      </w:pPr>
      <w:rPr>
        <w:rFonts w:hint="default"/>
        <w:b/>
        <w:strike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5527E1"/>
    <w:multiLevelType w:val="multilevel"/>
    <w:tmpl w:val="4D0E7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782102F"/>
    <w:multiLevelType w:val="hybridMultilevel"/>
    <w:tmpl w:val="6EAE9776"/>
    <w:lvl w:ilvl="0" w:tplc="9C5A91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CE1195"/>
    <w:multiLevelType w:val="hybridMultilevel"/>
    <w:tmpl w:val="EA9871C2"/>
    <w:lvl w:ilvl="0" w:tplc="79D67018">
      <w:start w:val="1"/>
      <w:numFmt w:val="lowerLetter"/>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25"/>
  </w:num>
  <w:num w:numId="2">
    <w:abstractNumId w:val="11"/>
  </w:num>
  <w:num w:numId="3">
    <w:abstractNumId w:val="22"/>
  </w:num>
  <w:num w:numId="4">
    <w:abstractNumId w:val="21"/>
  </w:num>
  <w:num w:numId="5">
    <w:abstractNumId w:val="12"/>
  </w:num>
  <w:num w:numId="6">
    <w:abstractNumId w:val="23"/>
  </w:num>
  <w:num w:numId="7">
    <w:abstractNumId w:val="7"/>
  </w:num>
  <w:num w:numId="8">
    <w:abstractNumId w:val="4"/>
  </w:num>
  <w:num w:numId="9">
    <w:abstractNumId w:val="14"/>
  </w:num>
  <w:num w:numId="10">
    <w:abstractNumId w:val="0"/>
  </w:num>
  <w:num w:numId="11">
    <w:abstractNumId w:val="19"/>
  </w:num>
  <w:num w:numId="12">
    <w:abstractNumId w:val="13"/>
  </w:num>
  <w:num w:numId="13">
    <w:abstractNumId w:val="9"/>
  </w:num>
  <w:num w:numId="14">
    <w:abstractNumId w:val="17"/>
  </w:num>
  <w:num w:numId="15">
    <w:abstractNumId w:val="26"/>
  </w:num>
  <w:num w:numId="16">
    <w:abstractNumId w:val="20"/>
  </w:num>
  <w:num w:numId="17">
    <w:abstractNumId w:val="3"/>
  </w:num>
  <w:num w:numId="18">
    <w:abstractNumId w:val="8"/>
  </w:num>
  <w:num w:numId="19">
    <w:abstractNumId w:val="5"/>
  </w:num>
  <w:num w:numId="20">
    <w:abstractNumId w:val="18"/>
  </w:num>
  <w:num w:numId="21">
    <w:abstractNumId w:val="6"/>
  </w:num>
  <w:num w:numId="22">
    <w:abstractNumId w:val="27"/>
  </w:num>
  <w:num w:numId="23">
    <w:abstractNumId w:val="1"/>
  </w:num>
  <w:num w:numId="24">
    <w:abstractNumId w:val="16"/>
  </w:num>
  <w:num w:numId="25">
    <w:abstractNumId w:val="10"/>
  </w:num>
  <w:num w:numId="26">
    <w:abstractNumId w:val="15"/>
  </w:num>
  <w:num w:numId="27">
    <w:abstractNumId w:val="2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35"/>
    <w:rsid w:val="000027D6"/>
    <w:rsid w:val="00003FD0"/>
    <w:rsid w:val="00010B98"/>
    <w:rsid w:val="00022930"/>
    <w:rsid w:val="000240F6"/>
    <w:rsid w:val="00025F4E"/>
    <w:rsid w:val="00030E42"/>
    <w:rsid w:val="00032B40"/>
    <w:rsid w:val="0003792B"/>
    <w:rsid w:val="0004021A"/>
    <w:rsid w:val="00044218"/>
    <w:rsid w:val="000453FF"/>
    <w:rsid w:val="000478F4"/>
    <w:rsid w:val="00050398"/>
    <w:rsid w:val="000541B1"/>
    <w:rsid w:val="000545D1"/>
    <w:rsid w:val="00070791"/>
    <w:rsid w:val="00070FBA"/>
    <w:rsid w:val="0007330D"/>
    <w:rsid w:val="00073483"/>
    <w:rsid w:val="0007452E"/>
    <w:rsid w:val="0007530F"/>
    <w:rsid w:val="000761FE"/>
    <w:rsid w:val="0007760E"/>
    <w:rsid w:val="000803AB"/>
    <w:rsid w:val="00084B09"/>
    <w:rsid w:val="000860B0"/>
    <w:rsid w:val="0008624C"/>
    <w:rsid w:val="00086AFF"/>
    <w:rsid w:val="00086D4A"/>
    <w:rsid w:val="0008731F"/>
    <w:rsid w:val="00090CBE"/>
    <w:rsid w:val="00094B26"/>
    <w:rsid w:val="00097205"/>
    <w:rsid w:val="000A0C48"/>
    <w:rsid w:val="000A3603"/>
    <w:rsid w:val="000A3637"/>
    <w:rsid w:val="000A6761"/>
    <w:rsid w:val="000A6794"/>
    <w:rsid w:val="000A7C29"/>
    <w:rsid w:val="000B12AF"/>
    <w:rsid w:val="000B2B44"/>
    <w:rsid w:val="000B4208"/>
    <w:rsid w:val="000B611B"/>
    <w:rsid w:val="000C2C17"/>
    <w:rsid w:val="000D07C2"/>
    <w:rsid w:val="000D1FB6"/>
    <w:rsid w:val="000D6CFC"/>
    <w:rsid w:val="000D6E7E"/>
    <w:rsid w:val="000F2C50"/>
    <w:rsid w:val="000F48E7"/>
    <w:rsid w:val="001006D2"/>
    <w:rsid w:val="00101955"/>
    <w:rsid w:val="001037F7"/>
    <w:rsid w:val="00107DEB"/>
    <w:rsid w:val="0011500F"/>
    <w:rsid w:val="00115686"/>
    <w:rsid w:val="0011636C"/>
    <w:rsid w:val="0012146A"/>
    <w:rsid w:val="0012667B"/>
    <w:rsid w:val="00130C67"/>
    <w:rsid w:val="001328FB"/>
    <w:rsid w:val="001350D6"/>
    <w:rsid w:val="00136792"/>
    <w:rsid w:val="00136B44"/>
    <w:rsid w:val="00137463"/>
    <w:rsid w:val="001435B6"/>
    <w:rsid w:val="0015224A"/>
    <w:rsid w:val="00157DC1"/>
    <w:rsid w:val="001622CD"/>
    <w:rsid w:val="00163845"/>
    <w:rsid w:val="00167FCC"/>
    <w:rsid w:val="00172B27"/>
    <w:rsid w:val="00173E20"/>
    <w:rsid w:val="001744BB"/>
    <w:rsid w:val="00176F8F"/>
    <w:rsid w:val="00181937"/>
    <w:rsid w:val="00184129"/>
    <w:rsid w:val="001841B9"/>
    <w:rsid w:val="00185002"/>
    <w:rsid w:val="00187139"/>
    <w:rsid w:val="0019118A"/>
    <w:rsid w:val="001922D5"/>
    <w:rsid w:val="0019459B"/>
    <w:rsid w:val="001965D3"/>
    <w:rsid w:val="001A0BEB"/>
    <w:rsid w:val="001B1D6E"/>
    <w:rsid w:val="001B25B8"/>
    <w:rsid w:val="001B3255"/>
    <w:rsid w:val="001B4B5E"/>
    <w:rsid w:val="001C3FB1"/>
    <w:rsid w:val="001C4E5A"/>
    <w:rsid w:val="001C4FD2"/>
    <w:rsid w:val="001C6A27"/>
    <w:rsid w:val="001D04F6"/>
    <w:rsid w:val="001D0547"/>
    <w:rsid w:val="001D4540"/>
    <w:rsid w:val="001D45C5"/>
    <w:rsid w:val="001D623A"/>
    <w:rsid w:val="001D6ADB"/>
    <w:rsid w:val="001D6DC0"/>
    <w:rsid w:val="001D7E1A"/>
    <w:rsid w:val="001E183E"/>
    <w:rsid w:val="001E5A7C"/>
    <w:rsid w:val="001E63CC"/>
    <w:rsid w:val="001E6CC0"/>
    <w:rsid w:val="00201019"/>
    <w:rsid w:val="00201D65"/>
    <w:rsid w:val="00203ED1"/>
    <w:rsid w:val="00212686"/>
    <w:rsid w:val="0021466E"/>
    <w:rsid w:val="002252DB"/>
    <w:rsid w:val="00227BB9"/>
    <w:rsid w:val="002319DF"/>
    <w:rsid w:val="00243104"/>
    <w:rsid w:val="0024627B"/>
    <w:rsid w:val="00253565"/>
    <w:rsid w:val="002550D2"/>
    <w:rsid w:val="002618F1"/>
    <w:rsid w:val="002624D9"/>
    <w:rsid w:val="00263C29"/>
    <w:rsid w:val="00263D7B"/>
    <w:rsid w:val="00264D22"/>
    <w:rsid w:val="00264F66"/>
    <w:rsid w:val="00265678"/>
    <w:rsid w:val="00266D90"/>
    <w:rsid w:val="0027397E"/>
    <w:rsid w:val="00277964"/>
    <w:rsid w:val="00281A06"/>
    <w:rsid w:val="00282526"/>
    <w:rsid w:val="00283800"/>
    <w:rsid w:val="00286648"/>
    <w:rsid w:val="002872EB"/>
    <w:rsid w:val="00287BFC"/>
    <w:rsid w:val="0029321A"/>
    <w:rsid w:val="00295544"/>
    <w:rsid w:val="00295B7D"/>
    <w:rsid w:val="0029707D"/>
    <w:rsid w:val="002A3A59"/>
    <w:rsid w:val="002A3F33"/>
    <w:rsid w:val="002A7F2F"/>
    <w:rsid w:val="002B0516"/>
    <w:rsid w:val="002C5C23"/>
    <w:rsid w:val="002C790A"/>
    <w:rsid w:val="002D2845"/>
    <w:rsid w:val="002D4117"/>
    <w:rsid w:val="002D5DB0"/>
    <w:rsid w:val="002D5F48"/>
    <w:rsid w:val="002E066C"/>
    <w:rsid w:val="002E0EEC"/>
    <w:rsid w:val="002E2538"/>
    <w:rsid w:val="002E5C75"/>
    <w:rsid w:val="002F0CEB"/>
    <w:rsid w:val="002F32AE"/>
    <w:rsid w:val="002F36B7"/>
    <w:rsid w:val="002F6374"/>
    <w:rsid w:val="002F6E7F"/>
    <w:rsid w:val="00300279"/>
    <w:rsid w:val="00302326"/>
    <w:rsid w:val="0030506C"/>
    <w:rsid w:val="00305581"/>
    <w:rsid w:val="003072AD"/>
    <w:rsid w:val="00310410"/>
    <w:rsid w:val="00311E2D"/>
    <w:rsid w:val="00315F1D"/>
    <w:rsid w:val="0031775A"/>
    <w:rsid w:val="00317957"/>
    <w:rsid w:val="00322A31"/>
    <w:rsid w:val="003240CB"/>
    <w:rsid w:val="00326B76"/>
    <w:rsid w:val="00327C89"/>
    <w:rsid w:val="003300DD"/>
    <w:rsid w:val="00331E4A"/>
    <w:rsid w:val="00332440"/>
    <w:rsid w:val="00333481"/>
    <w:rsid w:val="00337261"/>
    <w:rsid w:val="00340366"/>
    <w:rsid w:val="00341F22"/>
    <w:rsid w:val="003429F0"/>
    <w:rsid w:val="00346733"/>
    <w:rsid w:val="00352FAF"/>
    <w:rsid w:val="0035348A"/>
    <w:rsid w:val="00353947"/>
    <w:rsid w:val="003569DE"/>
    <w:rsid w:val="00360557"/>
    <w:rsid w:val="003609F3"/>
    <w:rsid w:val="0036627C"/>
    <w:rsid w:val="00373EB4"/>
    <w:rsid w:val="00376532"/>
    <w:rsid w:val="00383374"/>
    <w:rsid w:val="00384174"/>
    <w:rsid w:val="0039173B"/>
    <w:rsid w:val="003921FC"/>
    <w:rsid w:val="0039222F"/>
    <w:rsid w:val="003922E0"/>
    <w:rsid w:val="003944C4"/>
    <w:rsid w:val="00394F3F"/>
    <w:rsid w:val="003951E6"/>
    <w:rsid w:val="00395D68"/>
    <w:rsid w:val="003A593A"/>
    <w:rsid w:val="003A6F58"/>
    <w:rsid w:val="003B079B"/>
    <w:rsid w:val="003B0E0F"/>
    <w:rsid w:val="003B43BC"/>
    <w:rsid w:val="003B43E0"/>
    <w:rsid w:val="003C2C54"/>
    <w:rsid w:val="003C6A90"/>
    <w:rsid w:val="003D6167"/>
    <w:rsid w:val="003E14AB"/>
    <w:rsid w:val="003E3F39"/>
    <w:rsid w:val="003E47A4"/>
    <w:rsid w:val="003E4FF7"/>
    <w:rsid w:val="003E605F"/>
    <w:rsid w:val="003E7516"/>
    <w:rsid w:val="003F10A1"/>
    <w:rsid w:val="003F111E"/>
    <w:rsid w:val="003F6122"/>
    <w:rsid w:val="00401271"/>
    <w:rsid w:val="00403A7E"/>
    <w:rsid w:val="00407A77"/>
    <w:rsid w:val="00414604"/>
    <w:rsid w:val="00421595"/>
    <w:rsid w:val="00422AAA"/>
    <w:rsid w:val="00423A92"/>
    <w:rsid w:val="00426798"/>
    <w:rsid w:val="0043038E"/>
    <w:rsid w:val="00432213"/>
    <w:rsid w:val="0043594A"/>
    <w:rsid w:val="004428E2"/>
    <w:rsid w:val="004431F6"/>
    <w:rsid w:val="00444DC4"/>
    <w:rsid w:val="00452AD7"/>
    <w:rsid w:val="00453FC9"/>
    <w:rsid w:val="0045533C"/>
    <w:rsid w:val="00456081"/>
    <w:rsid w:val="0045638B"/>
    <w:rsid w:val="004567BD"/>
    <w:rsid w:val="00457621"/>
    <w:rsid w:val="004605E3"/>
    <w:rsid w:val="00466A1E"/>
    <w:rsid w:val="00467C29"/>
    <w:rsid w:val="00470918"/>
    <w:rsid w:val="0047106D"/>
    <w:rsid w:val="00471943"/>
    <w:rsid w:val="00480531"/>
    <w:rsid w:val="00480C17"/>
    <w:rsid w:val="00483B68"/>
    <w:rsid w:val="00487166"/>
    <w:rsid w:val="0049275A"/>
    <w:rsid w:val="004949CD"/>
    <w:rsid w:val="00495DEE"/>
    <w:rsid w:val="00497B42"/>
    <w:rsid w:val="004A67FC"/>
    <w:rsid w:val="004A6FB5"/>
    <w:rsid w:val="004B06DC"/>
    <w:rsid w:val="004B4EF3"/>
    <w:rsid w:val="004B57D1"/>
    <w:rsid w:val="004D041A"/>
    <w:rsid w:val="004D0FF2"/>
    <w:rsid w:val="004D2DE3"/>
    <w:rsid w:val="004D40F0"/>
    <w:rsid w:val="004F16B0"/>
    <w:rsid w:val="004F3774"/>
    <w:rsid w:val="004F6635"/>
    <w:rsid w:val="00501CCE"/>
    <w:rsid w:val="005204C0"/>
    <w:rsid w:val="0052537F"/>
    <w:rsid w:val="005259BA"/>
    <w:rsid w:val="00525E09"/>
    <w:rsid w:val="00530A50"/>
    <w:rsid w:val="0053378C"/>
    <w:rsid w:val="00542024"/>
    <w:rsid w:val="00543EFD"/>
    <w:rsid w:val="00544732"/>
    <w:rsid w:val="005459C8"/>
    <w:rsid w:val="005500C3"/>
    <w:rsid w:val="005503AB"/>
    <w:rsid w:val="00553EE2"/>
    <w:rsid w:val="005613F5"/>
    <w:rsid w:val="00563975"/>
    <w:rsid w:val="00563EC1"/>
    <w:rsid w:val="00566166"/>
    <w:rsid w:val="0056761E"/>
    <w:rsid w:val="00567ACB"/>
    <w:rsid w:val="00567F99"/>
    <w:rsid w:val="00570F92"/>
    <w:rsid w:val="00571819"/>
    <w:rsid w:val="0057353A"/>
    <w:rsid w:val="00574379"/>
    <w:rsid w:val="005752C4"/>
    <w:rsid w:val="00580E52"/>
    <w:rsid w:val="0058157B"/>
    <w:rsid w:val="0058341D"/>
    <w:rsid w:val="005837BC"/>
    <w:rsid w:val="00584335"/>
    <w:rsid w:val="00590339"/>
    <w:rsid w:val="005935DD"/>
    <w:rsid w:val="0059595D"/>
    <w:rsid w:val="005A6239"/>
    <w:rsid w:val="005B2829"/>
    <w:rsid w:val="005D1329"/>
    <w:rsid w:val="005D1473"/>
    <w:rsid w:val="005D37B5"/>
    <w:rsid w:val="005D4EF5"/>
    <w:rsid w:val="005D5436"/>
    <w:rsid w:val="005D6197"/>
    <w:rsid w:val="005D69F3"/>
    <w:rsid w:val="005E42DE"/>
    <w:rsid w:val="005E68B3"/>
    <w:rsid w:val="005E75D2"/>
    <w:rsid w:val="005F0292"/>
    <w:rsid w:val="005F042A"/>
    <w:rsid w:val="005F1552"/>
    <w:rsid w:val="005F623C"/>
    <w:rsid w:val="005F677E"/>
    <w:rsid w:val="005F6961"/>
    <w:rsid w:val="00602D3B"/>
    <w:rsid w:val="00603F99"/>
    <w:rsid w:val="00604BE6"/>
    <w:rsid w:val="00606CE0"/>
    <w:rsid w:val="006119DB"/>
    <w:rsid w:val="006153C9"/>
    <w:rsid w:val="00621509"/>
    <w:rsid w:val="00621CD6"/>
    <w:rsid w:val="00622FB2"/>
    <w:rsid w:val="0062740D"/>
    <w:rsid w:val="00630AA9"/>
    <w:rsid w:val="0063583F"/>
    <w:rsid w:val="00640DC8"/>
    <w:rsid w:val="006424D9"/>
    <w:rsid w:val="00643E03"/>
    <w:rsid w:val="006446CF"/>
    <w:rsid w:val="00644A54"/>
    <w:rsid w:val="006467F7"/>
    <w:rsid w:val="00653D2A"/>
    <w:rsid w:val="00654EED"/>
    <w:rsid w:val="00655238"/>
    <w:rsid w:val="00655326"/>
    <w:rsid w:val="00662C78"/>
    <w:rsid w:val="00665120"/>
    <w:rsid w:val="006656F4"/>
    <w:rsid w:val="00667FAA"/>
    <w:rsid w:val="00670054"/>
    <w:rsid w:val="00670E9A"/>
    <w:rsid w:val="00675FBF"/>
    <w:rsid w:val="00682460"/>
    <w:rsid w:val="00685C4B"/>
    <w:rsid w:val="006860C5"/>
    <w:rsid w:val="00687D42"/>
    <w:rsid w:val="00693101"/>
    <w:rsid w:val="00693A28"/>
    <w:rsid w:val="006956D3"/>
    <w:rsid w:val="0069768C"/>
    <w:rsid w:val="00697A6F"/>
    <w:rsid w:val="00697B80"/>
    <w:rsid w:val="006A1622"/>
    <w:rsid w:val="006A352F"/>
    <w:rsid w:val="006A37EB"/>
    <w:rsid w:val="006A3AA9"/>
    <w:rsid w:val="006A5295"/>
    <w:rsid w:val="006A5EEE"/>
    <w:rsid w:val="006B0CFB"/>
    <w:rsid w:val="006B3618"/>
    <w:rsid w:val="006B7445"/>
    <w:rsid w:val="006C1E6D"/>
    <w:rsid w:val="006C30D9"/>
    <w:rsid w:val="006C4423"/>
    <w:rsid w:val="006C594C"/>
    <w:rsid w:val="006C7234"/>
    <w:rsid w:val="006D0D4D"/>
    <w:rsid w:val="006D0F41"/>
    <w:rsid w:val="006D31CB"/>
    <w:rsid w:val="006D3A01"/>
    <w:rsid w:val="006D4EF9"/>
    <w:rsid w:val="006D5F46"/>
    <w:rsid w:val="006E0A32"/>
    <w:rsid w:val="006E6746"/>
    <w:rsid w:val="006E74CC"/>
    <w:rsid w:val="006E7CD6"/>
    <w:rsid w:val="006F03AC"/>
    <w:rsid w:val="006F1C68"/>
    <w:rsid w:val="006F7287"/>
    <w:rsid w:val="00701AE1"/>
    <w:rsid w:val="00701F46"/>
    <w:rsid w:val="00706181"/>
    <w:rsid w:val="0071207B"/>
    <w:rsid w:val="007139CF"/>
    <w:rsid w:val="0071432C"/>
    <w:rsid w:val="00716ED5"/>
    <w:rsid w:val="00717F5C"/>
    <w:rsid w:val="007204F6"/>
    <w:rsid w:val="00721412"/>
    <w:rsid w:val="00722B54"/>
    <w:rsid w:val="00726DCC"/>
    <w:rsid w:val="007270EE"/>
    <w:rsid w:val="00731B19"/>
    <w:rsid w:val="007335B3"/>
    <w:rsid w:val="00733CC6"/>
    <w:rsid w:val="00737A09"/>
    <w:rsid w:val="0074019E"/>
    <w:rsid w:val="0074507D"/>
    <w:rsid w:val="007465E8"/>
    <w:rsid w:val="00750E96"/>
    <w:rsid w:val="0075158E"/>
    <w:rsid w:val="007524BA"/>
    <w:rsid w:val="00754668"/>
    <w:rsid w:val="00754E84"/>
    <w:rsid w:val="007567B8"/>
    <w:rsid w:val="00757A25"/>
    <w:rsid w:val="00757AAF"/>
    <w:rsid w:val="007600D8"/>
    <w:rsid w:val="00760FB0"/>
    <w:rsid w:val="00762D87"/>
    <w:rsid w:val="0076387D"/>
    <w:rsid w:val="00764A2C"/>
    <w:rsid w:val="007676A9"/>
    <w:rsid w:val="00770299"/>
    <w:rsid w:val="00774575"/>
    <w:rsid w:val="00774AB4"/>
    <w:rsid w:val="007767CF"/>
    <w:rsid w:val="00776CA7"/>
    <w:rsid w:val="0078249F"/>
    <w:rsid w:val="00784FD3"/>
    <w:rsid w:val="007914EC"/>
    <w:rsid w:val="007928D3"/>
    <w:rsid w:val="007950BF"/>
    <w:rsid w:val="007A567E"/>
    <w:rsid w:val="007A6D39"/>
    <w:rsid w:val="007B211B"/>
    <w:rsid w:val="007B45DA"/>
    <w:rsid w:val="007B5CEB"/>
    <w:rsid w:val="007B775C"/>
    <w:rsid w:val="007C2EE3"/>
    <w:rsid w:val="007C3B53"/>
    <w:rsid w:val="007C4920"/>
    <w:rsid w:val="007C5516"/>
    <w:rsid w:val="007D1A35"/>
    <w:rsid w:val="007D1B62"/>
    <w:rsid w:val="007D3F7B"/>
    <w:rsid w:val="007D43F4"/>
    <w:rsid w:val="007D6854"/>
    <w:rsid w:val="007D735C"/>
    <w:rsid w:val="007E377D"/>
    <w:rsid w:val="007E7248"/>
    <w:rsid w:val="007F2EAA"/>
    <w:rsid w:val="00801636"/>
    <w:rsid w:val="008022AF"/>
    <w:rsid w:val="00803CB9"/>
    <w:rsid w:val="00805745"/>
    <w:rsid w:val="00815BD9"/>
    <w:rsid w:val="008209A8"/>
    <w:rsid w:val="00821F60"/>
    <w:rsid w:val="00822293"/>
    <w:rsid w:val="00824328"/>
    <w:rsid w:val="00825E84"/>
    <w:rsid w:val="00831DAD"/>
    <w:rsid w:val="008428F9"/>
    <w:rsid w:val="00843987"/>
    <w:rsid w:val="008440D6"/>
    <w:rsid w:val="00847CBD"/>
    <w:rsid w:val="008529B3"/>
    <w:rsid w:val="00854899"/>
    <w:rsid w:val="00855A55"/>
    <w:rsid w:val="008561F9"/>
    <w:rsid w:val="008637B5"/>
    <w:rsid w:val="00864D89"/>
    <w:rsid w:val="008673EE"/>
    <w:rsid w:val="0088399A"/>
    <w:rsid w:val="00895247"/>
    <w:rsid w:val="00895BB9"/>
    <w:rsid w:val="0089747F"/>
    <w:rsid w:val="008A05BB"/>
    <w:rsid w:val="008A1290"/>
    <w:rsid w:val="008A1B36"/>
    <w:rsid w:val="008A1D80"/>
    <w:rsid w:val="008A42DE"/>
    <w:rsid w:val="008B037D"/>
    <w:rsid w:val="008B26CF"/>
    <w:rsid w:val="008C418A"/>
    <w:rsid w:val="008C56B7"/>
    <w:rsid w:val="008C6931"/>
    <w:rsid w:val="008E0532"/>
    <w:rsid w:val="008E4742"/>
    <w:rsid w:val="008E6F1B"/>
    <w:rsid w:val="008F2441"/>
    <w:rsid w:val="008F7C81"/>
    <w:rsid w:val="00903140"/>
    <w:rsid w:val="00904AC5"/>
    <w:rsid w:val="00906034"/>
    <w:rsid w:val="00910B7E"/>
    <w:rsid w:val="00913FBC"/>
    <w:rsid w:val="009216EE"/>
    <w:rsid w:val="00923B05"/>
    <w:rsid w:val="00925367"/>
    <w:rsid w:val="009255D2"/>
    <w:rsid w:val="00926F26"/>
    <w:rsid w:val="00932944"/>
    <w:rsid w:val="009338CF"/>
    <w:rsid w:val="00934051"/>
    <w:rsid w:val="009351BD"/>
    <w:rsid w:val="009421C2"/>
    <w:rsid w:val="00943918"/>
    <w:rsid w:val="00945521"/>
    <w:rsid w:val="00947805"/>
    <w:rsid w:val="00947A28"/>
    <w:rsid w:val="009536D3"/>
    <w:rsid w:val="00957B50"/>
    <w:rsid w:val="00961D40"/>
    <w:rsid w:val="00964513"/>
    <w:rsid w:val="00964789"/>
    <w:rsid w:val="00964FB7"/>
    <w:rsid w:val="00965036"/>
    <w:rsid w:val="0097340B"/>
    <w:rsid w:val="00976403"/>
    <w:rsid w:val="00982B38"/>
    <w:rsid w:val="00982FB9"/>
    <w:rsid w:val="009835C1"/>
    <w:rsid w:val="009874B6"/>
    <w:rsid w:val="009953C9"/>
    <w:rsid w:val="009A1574"/>
    <w:rsid w:val="009A2245"/>
    <w:rsid w:val="009A3870"/>
    <w:rsid w:val="009A7415"/>
    <w:rsid w:val="009B5C18"/>
    <w:rsid w:val="009B5EB1"/>
    <w:rsid w:val="009B679B"/>
    <w:rsid w:val="009B704B"/>
    <w:rsid w:val="009B7320"/>
    <w:rsid w:val="009C0A48"/>
    <w:rsid w:val="009C0AF7"/>
    <w:rsid w:val="009C1E37"/>
    <w:rsid w:val="009C36CC"/>
    <w:rsid w:val="009C5D21"/>
    <w:rsid w:val="009C7A66"/>
    <w:rsid w:val="009E12B9"/>
    <w:rsid w:val="009F38D1"/>
    <w:rsid w:val="009F53C4"/>
    <w:rsid w:val="009F70CD"/>
    <w:rsid w:val="009F76FB"/>
    <w:rsid w:val="009F7A5E"/>
    <w:rsid w:val="00A025DF"/>
    <w:rsid w:val="00A0279E"/>
    <w:rsid w:val="00A053FD"/>
    <w:rsid w:val="00A055CE"/>
    <w:rsid w:val="00A07E91"/>
    <w:rsid w:val="00A10103"/>
    <w:rsid w:val="00A133F4"/>
    <w:rsid w:val="00A15830"/>
    <w:rsid w:val="00A16DB3"/>
    <w:rsid w:val="00A20196"/>
    <w:rsid w:val="00A23664"/>
    <w:rsid w:val="00A2619A"/>
    <w:rsid w:val="00A308C8"/>
    <w:rsid w:val="00A4173E"/>
    <w:rsid w:val="00A42F65"/>
    <w:rsid w:val="00A47346"/>
    <w:rsid w:val="00A50710"/>
    <w:rsid w:val="00A52595"/>
    <w:rsid w:val="00A53093"/>
    <w:rsid w:val="00A55083"/>
    <w:rsid w:val="00A55DEB"/>
    <w:rsid w:val="00A600C0"/>
    <w:rsid w:val="00A64870"/>
    <w:rsid w:val="00A715A3"/>
    <w:rsid w:val="00A735F7"/>
    <w:rsid w:val="00A73D01"/>
    <w:rsid w:val="00A748E3"/>
    <w:rsid w:val="00A766A9"/>
    <w:rsid w:val="00A8004E"/>
    <w:rsid w:val="00A804C0"/>
    <w:rsid w:val="00A80A4C"/>
    <w:rsid w:val="00A82E1A"/>
    <w:rsid w:val="00A832F6"/>
    <w:rsid w:val="00A83770"/>
    <w:rsid w:val="00A91800"/>
    <w:rsid w:val="00A93829"/>
    <w:rsid w:val="00A9384E"/>
    <w:rsid w:val="00A94BC9"/>
    <w:rsid w:val="00A97F17"/>
    <w:rsid w:val="00A97FD2"/>
    <w:rsid w:val="00AA1B47"/>
    <w:rsid w:val="00AA40ED"/>
    <w:rsid w:val="00AA6BAB"/>
    <w:rsid w:val="00AA7B91"/>
    <w:rsid w:val="00AB507B"/>
    <w:rsid w:val="00AC0039"/>
    <w:rsid w:val="00AC4351"/>
    <w:rsid w:val="00AC4B5B"/>
    <w:rsid w:val="00AC5466"/>
    <w:rsid w:val="00AC6BBF"/>
    <w:rsid w:val="00AD7516"/>
    <w:rsid w:val="00AE51E1"/>
    <w:rsid w:val="00AE5332"/>
    <w:rsid w:val="00AE6558"/>
    <w:rsid w:val="00AE6ADB"/>
    <w:rsid w:val="00AF42DF"/>
    <w:rsid w:val="00AF7688"/>
    <w:rsid w:val="00B01FBD"/>
    <w:rsid w:val="00B024C0"/>
    <w:rsid w:val="00B0386B"/>
    <w:rsid w:val="00B11D74"/>
    <w:rsid w:val="00B124E3"/>
    <w:rsid w:val="00B1350C"/>
    <w:rsid w:val="00B13AC2"/>
    <w:rsid w:val="00B15219"/>
    <w:rsid w:val="00B153B2"/>
    <w:rsid w:val="00B16436"/>
    <w:rsid w:val="00B1700B"/>
    <w:rsid w:val="00B23C5B"/>
    <w:rsid w:val="00B24CAF"/>
    <w:rsid w:val="00B26E35"/>
    <w:rsid w:val="00B273FF"/>
    <w:rsid w:val="00B27430"/>
    <w:rsid w:val="00B27FB4"/>
    <w:rsid w:val="00B31FCB"/>
    <w:rsid w:val="00B32FEB"/>
    <w:rsid w:val="00B33B3C"/>
    <w:rsid w:val="00B347AA"/>
    <w:rsid w:val="00B34B23"/>
    <w:rsid w:val="00B351C9"/>
    <w:rsid w:val="00B4024B"/>
    <w:rsid w:val="00B426E4"/>
    <w:rsid w:val="00B44C8D"/>
    <w:rsid w:val="00B44C9D"/>
    <w:rsid w:val="00B47185"/>
    <w:rsid w:val="00B50792"/>
    <w:rsid w:val="00B52171"/>
    <w:rsid w:val="00B56D48"/>
    <w:rsid w:val="00B65AF3"/>
    <w:rsid w:val="00B66063"/>
    <w:rsid w:val="00B66A68"/>
    <w:rsid w:val="00B7028F"/>
    <w:rsid w:val="00B70339"/>
    <w:rsid w:val="00B719E3"/>
    <w:rsid w:val="00B71B0D"/>
    <w:rsid w:val="00B76170"/>
    <w:rsid w:val="00B77429"/>
    <w:rsid w:val="00B80CE5"/>
    <w:rsid w:val="00B84D34"/>
    <w:rsid w:val="00B862C6"/>
    <w:rsid w:val="00B92058"/>
    <w:rsid w:val="00B93919"/>
    <w:rsid w:val="00B95366"/>
    <w:rsid w:val="00B9580A"/>
    <w:rsid w:val="00B95935"/>
    <w:rsid w:val="00BA0586"/>
    <w:rsid w:val="00BA27FC"/>
    <w:rsid w:val="00BA4B96"/>
    <w:rsid w:val="00BA593C"/>
    <w:rsid w:val="00BA5B99"/>
    <w:rsid w:val="00BA7937"/>
    <w:rsid w:val="00BA7E26"/>
    <w:rsid w:val="00BB3267"/>
    <w:rsid w:val="00BB40C7"/>
    <w:rsid w:val="00BC1CD3"/>
    <w:rsid w:val="00BC1E50"/>
    <w:rsid w:val="00BC2F65"/>
    <w:rsid w:val="00BC3B01"/>
    <w:rsid w:val="00BC4336"/>
    <w:rsid w:val="00BC7F1C"/>
    <w:rsid w:val="00BD21F9"/>
    <w:rsid w:val="00BD2992"/>
    <w:rsid w:val="00BD39D8"/>
    <w:rsid w:val="00BD52F3"/>
    <w:rsid w:val="00BD69EA"/>
    <w:rsid w:val="00BE0C9A"/>
    <w:rsid w:val="00BE196C"/>
    <w:rsid w:val="00BE28FC"/>
    <w:rsid w:val="00BE51C5"/>
    <w:rsid w:val="00BE5464"/>
    <w:rsid w:val="00BE668B"/>
    <w:rsid w:val="00BE7115"/>
    <w:rsid w:val="00BE7A1E"/>
    <w:rsid w:val="00BF4ADA"/>
    <w:rsid w:val="00BF6788"/>
    <w:rsid w:val="00C009AB"/>
    <w:rsid w:val="00C03055"/>
    <w:rsid w:val="00C039F8"/>
    <w:rsid w:val="00C04B1A"/>
    <w:rsid w:val="00C062CB"/>
    <w:rsid w:val="00C06BF5"/>
    <w:rsid w:val="00C10018"/>
    <w:rsid w:val="00C10A7E"/>
    <w:rsid w:val="00C10B2C"/>
    <w:rsid w:val="00C11046"/>
    <w:rsid w:val="00C1190C"/>
    <w:rsid w:val="00C131EF"/>
    <w:rsid w:val="00C14824"/>
    <w:rsid w:val="00C1534F"/>
    <w:rsid w:val="00C248CF"/>
    <w:rsid w:val="00C26D1D"/>
    <w:rsid w:val="00C310AA"/>
    <w:rsid w:val="00C32669"/>
    <w:rsid w:val="00C342A3"/>
    <w:rsid w:val="00C34CFB"/>
    <w:rsid w:val="00C44BF1"/>
    <w:rsid w:val="00C50E5D"/>
    <w:rsid w:val="00C52378"/>
    <w:rsid w:val="00C52A12"/>
    <w:rsid w:val="00C6047E"/>
    <w:rsid w:val="00C625F6"/>
    <w:rsid w:val="00C63229"/>
    <w:rsid w:val="00C672C5"/>
    <w:rsid w:val="00C67B0D"/>
    <w:rsid w:val="00C739B4"/>
    <w:rsid w:val="00C82663"/>
    <w:rsid w:val="00C864E3"/>
    <w:rsid w:val="00C87009"/>
    <w:rsid w:val="00C916A8"/>
    <w:rsid w:val="00C916EF"/>
    <w:rsid w:val="00C952FC"/>
    <w:rsid w:val="00C95FDC"/>
    <w:rsid w:val="00CB16D0"/>
    <w:rsid w:val="00CB709E"/>
    <w:rsid w:val="00CC1248"/>
    <w:rsid w:val="00CC125A"/>
    <w:rsid w:val="00CC1657"/>
    <w:rsid w:val="00CC5979"/>
    <w:rsid w:val="00CC73B3"/>
    <w:rsid w:val="00CE0C42"/>
    <w:rsid w:val="00CE4D69"/>
    <w:rsid w:val="00CE6482"/>
    <w:rsid w:val="00CF0D28"/>
    <w:rsid w:val="00CF3F35"/>
    <w:rsid w:val="00CF4AB7"/>
    <w:rsid w:val="00D0181F"/>
    <w:rsid w:val="00D05375"/>
    <w:rsid w:val="00D10B38"/>
    <w:rsid w:val="00D20650"/>
    <w:rsid w:val="00D27C67"/>
    <w:rsid w:val="00D3468C"/>
    <w:rsid w:val="00D34ABB"/>
    <w:rsid w:val="00D4065A"/>
    <w:rsid w:val="00D45FDD"/>
    <w:rsid w:val="00D50617"/>
    <w:rsid w:val="00D51A01"/>
    <w:rsid w:val="00D53EE7"/>
    <w:rsid w:val="00D6359B"/>
    <w:rsid w:val="00D65617"/>
    <w:rsid w:val="00D66B8E"/>
    <w:rsid w:val="00D66E11"/>
    <w:rsid w:val="00D67B98"/>
    <w:rsid w:val="00D710A5"/>
    <w:rsid w:val="00D7178B"/>
    <w:rsid w:val="00D73303"/>
    <w:rsid w:val="00D746EA"/>
    <w:rsid w:val="00D75161"/>
    <w:rsid w:val="00D76E6D"/>
    <w:rsid w:val="00D76F57"/>
    <w:rsid w:val="00D819C7"/>
    <w:rsid w:val="00D827D3"/>
    <w:rsid w:val="00D83AD6"/>
    <w:rsid w:val="00D85302"/>
    <w:rsid w:val="00D878D8"/>
    <w:rsid w:val="00DA0124"/>
    <w:rsid w:val="00DA118B"/>
    <w:rsid w:val="00DA2B73"/>
    <w:rsid w:val="00DA2D89"/>
    <w:rsid w:val="00DA4984"/>
    <w:rsid w:val="00DA6CE1"/>
    <w:rsid w:val="00DB5015"/>
    <w:rsid w:val="00DB5A03"/>
    <w:rsid w:val="00DC151D"/>
    <w:rsid w:val="00DC31E0"/>
    <w:rsid w:val="00DC4F6E"/>
    <w:rsid w:val="00DC529E"/>
    <w:rsid w:val="00DC5322"/>
    <w:rsid w:val="00DC7061"/>
    <w:rsid w:val="00DD255F"/>
    <w:rsid w:val="00DD369C"/>
    <w:rsid w:val="00DD6B2E"/>
    <w:rsid w:val="00DD7157"/>
    <w:rsid w:val="00DE2E28"/>
    <w:rsid w:val="00DE4E23"/>
    <w:rsid w:val="00DF2980"/>
    <w:rsid w:val="00DF3815"/>
    <w:rsid w:val="00DF4C67"/>
    <w:rsid w:val="00DF53CF"/>
    <w:rsid w:val="00DF5566"/>
    <w:rsid w:val="00DF6275"/>
    <w:rsid w:val="00E00F2B"/>
    <w:rsid w:val="00E023ED"/>
    <w:rsid w:val="00E05537"/>
    <w:rsid w:val="00E07D46"/>
    <w:rsid w:val="00E15B42"/>
    <w:rsid w:val="00E22232"/>
    <w:rsid w:val="00E273E7"/>
    <w:rsid w:val="00E27574"/>
    <w:rsid w:val="00E27AFD"/>
    <w:rsid w:val="00E313F4"/>
    <w:rsid w:val="00E44106"/>
    <w:rsid w:val="00E44376"/>
    <w:rsid w:val="00E50221"/>
    <w:rsid w:val="00E50FDE"/>
    <w:rsid w:val="00E52FB6"/>
    <w:rsid w:val="00E53985"/>
    <w:rsid w:val="00E53C3B"/>
    <w:rsid w:val="00E63343"/>
    <w:rsid w:val="00E662B4"/>
    <w:rsid w:val="00E75D65"/>
    <w:rsid w:val="00E80643"/>
    <w:rsid w:val="00E90CD1"/>
    <w:rsid w:val="00E926C4"/>
    <w:rsid w:val="00E94B7B"/>
    <w:rsid w:val="00EA0884"/>
    <w:rsid w:val="00EA68A3"/>
    <w:rsid w:val="00EB3243"/>
    <w:rsid w:val="00EB4055"/>
    <w:rsid w:val="00EB415B"/>
    <w:rsid w:val="00EB44B5"/>
    <w:rsid w:val="00EB47AA"/>
    <w:rsid w:val="00EB6417"/>
    <w:rsid w:val="00EC20DE"/>
    <w:rsid w:val="00EC295B"/>
    <w:rsid w:val="00EC6A0B"/>
    <w:rsid w:val="00ED4279"/>
    <w:rsid w:val="00EE5F25"/>
    <w:rsid w:val="00EF30C5"/>
    <w:rsid w:val="00EF39B6"/>
    <w:rsid w:val="00EF3EE7"/>
    <w:rsid w:val="00EF465C"/>
    <w:rsid w:val="00EF50B2"/>
    <w:rsid w:val="00EF53FE"/>
    <w:rsid w:val="00EF5562"/>
    <w:rsid w:val="00EF7FC1"/>
    <w:rsid w:val="00F02F28"/>
    <w:rsid w:val="00F03176"/>
    <w:rsid w:val="00F03688"/>
    <w:rsid w:val="00F03BB4"/>
    <w:rsid w:val="00F05047"/>
    <w:rsid w:val="00F10DDF"/>
    <w:rsid w:val="00F12F46"/>
    <w:rsid w:val="00F2000A"/>
    <w:rsid w:val="00F21150"/>
    <w:rsid w:val="00F23D9A"/>
    <w:rsid w:val="00F26B0B"/>
    <w:rsid w:val="00F270E2"/>
    <w:rsid w:val="00F27EF2"/>
    <w:rsid w:val="00F300B0"/>
    <w:rsid w:val="00F31296"/>
    <w:rsid w:val="00F31F60"/>
    <w:rsid w:val="00F329E9"/>
    <w:rsid w:val="00F36FB4"/>
    <w:rsid w:val="00F3700E"/>
    <w:rsid w:val="00F40054"/>
    <w:rsid w:val="00F427BE"/>
    <w:rsid w:val="00F428BB"/>
    <w:rsid w:val="00F4677E"/>
    <w:rsid w:val="00F526EE"/>
    <w:rsid w:val="00F60540"/>
    <w:rsid w:val="00F60959"/>
    <w:rsid w:val="00F65C13"/>
    <w:rsid w:val="00F67D32"/>
    <w:rsid w:val="00F70B84"/>
    <w:rsid w:val="00F717DB"/>
    <w:rsid w:val="00F71A5E"/>
    <w:rsid w:val="00F72020"/>
    <w:rsid w:val="00F76DFD"/>
    <w:rsid w:val="00F822AC"/>
    <w:rsid w:val="00F83CD1"/>
    <w:rsid w:val="00F85F2B"/>
    <w:rsid w:val="00F86073"/>
    <w:rsid w:val="00F91EA2"/>
    <w:rsid w:val="00F923EC"/>
    <w:rsid w:val="00F92E74"/>
    <w:rsid w:val="00F97D31"/>
    <w:rsid w:val="00FA1AF1"/>
    <w:rsid w:val="00FA21F2"/>
    <w:rsid w:val="00FA3945"/>
    <w:rsid w:val="00FA6BB2"/>
    <w:rsid w:val="00FA7417"/>
    <w:rsid w:val="00FB74E7"/>
    <w:rsid w:val="00FC329E"/>
    <w:rsid w:val="00FC5C0A"/>
    <w:rsid w:val="00FC5EA0"/>
    <w:rsid w:val="00FC5EEA"/>
    <w:rsid w:val="00FC728B"/>
    <w:rsid w:val="00FD37B3"/>
    <w:rsid w:val="00FD4192"/>
    <w:rsid w:val="00FD5683"/>
    <w:rsid w:val="00FD7503"/>
    <w:rsid w:val="00FE0849"/>
    <w:rsid w:val="00FE5495"/>
    <w:rsid w:val="00FE5751"/>
    <w:rsid w:val="00FF415A"/>
    <w:rsid w:val="00FF6A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9CB60"/>
  <w15:chartTrackingRefBased/>
  <w15:docId w15:val="{221B4DA9-52E3-47B4-A159-93764315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7270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270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0A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A48"/>
  </w:style>
  <w:style w:type="paragraph" w:styleId="Piedepgina">
    <w:name w:val="footer"/>
    <w:basedOn w:val="Normal"/>
    <w:link w:val="PiedepginaCar"/>
    <w:uiPriority w:val="99"/>
    <w:unhideWhenUsed/>
    <w:rsid w:val="009C0A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A48"/>
  </w:style>
  <w:style w:type="paragraph" w:styleId="Textodeglobo">
    <w:name w:val="Balloon Text"/>
    <w:basedOn w:val="Normal"/>
    <w:link w:val="TextodegloboCar"/>
    <w:uiPriority w:val="99"/>
    <w:semiHidden/>
    <w:unhideWhenUsed/>
    <w:rsid w:val="009C0A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0A48"/>
    <w:rPr>
      <w:rFonts w:ascii="Segoe UI" w:hAnsi="Segoe UI" w:cs="Segoe UI"/>
      <w:sz w:val="18"/>
      <w:szCs w:val="18"/>
    </w:rPr>
  </w:style>
  <w:style w:type="paragraph" w:styleId="NormalWeb">
    <w:name w:val="Normal (Web)"/>
    <w:aliases w:val="Normal (Web) Car1,Normal (Web) Car Car,Normal (Web) Car1 Car Car,Normal (Web) Car Car Car Car,Normal (Web) Car Car Car Car Car Car,Normal (Web) Car Car Car Car Car Car Car Car Car Car,Car Car Car Car,Car Car Car,Car Car,Car,C,Car Car Ca,1, "/>
    <w:basedOn w:val="Normal"/>
    <w:link w:val="NormalWebCar"/>
    <w:uiPriority w:val="99"/>
    <w:qFormat/>
    <w:rsid w:val="00FC329E"/>
    <w:pPr>
      <w:spacing w:before="100" w:beforeAutospacing="1" w:after="100" w:afterAutospacing="1" w:line="240" w:lineRule="auto"/>
    </w:pPr>
    <w:rPr>
      <w:rFonts w:ascii="Arial" w:eastAsia="Calibri" w:hAnsi="Arial" w:cs="Times New Roman"/>
      <w:sz w:val="16"/>
      <w:szCs w:val="16"/>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Ref. de nota al pie 2,Footnote Reference Char3,ftre,Footnote Reference"/>
    <w:link w:val="4GChar"/>
    <w:uiPriority w:val="99"/>
    <w:qFormat/>
    <w:rsid w:val="00FC329E"/>
    <w:rPr>
      <w:vertAlign w:val="superscript"/>
    </w:rPr>
  </w:style>
  <w:style w:type="character" w:customStyle="1" w:styleId="NormalWebCar">
    <w:name w:val="Normal (Web) Car"/>
    <w:aliases w:val="Normal (Web) Car1 Car,Normal (Web) Car Car Car,Normal (Web) Car1 Car Car Car,Normal (Web) Car Car Car Car Car,Normal (Web) Car Car Car Car Car Car Car,Normal (Web) Car Car Car Car Car Car Car Car Car Car Car,Car Car Car Car Car,Car Car1"/>
    <w:link w:val="NormalWeb"/>
    <w:uiPriority w:val="99"/>
    <w:locked/>
    <w:rsid w:val="00FC329E"/>
    <w:rPr>
      <w:rFonts w:ascii="Arial" w:eastAsia="Calibri" w:hAnsi="Arial" w:cs="Times New Roman"/>
      <w:sz w:val="16"/>
      <w:szCs w:val="16"/>
      <w:lang w:val="es-ES" w:eastAsia="es-ES"/>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FA Fu?notente,Ca1"/>
    <w:basedOn w:val="Normal"/>
    <w:link w:val="TextonotapieCar"/>
    <w:uiPriority w:val="99"/>
    <w:qFormat/>
    <w:rsid w:val="00FC329E"/>
    <w:pPr>
      <w:spacing w:after="0" w:line="240" w:lineRule="auto"/>
    </w:pPr>
    <w:rPr>
      <w:rFonts w:ascii="Cambria" w:eastAsia="MS ??" w:hAnsi="Cambria"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FC329E"/>
    <w:rPr>
      <w:rFonts w:ascii="Cambria" w:eastAsia="MS ??" w:hAnsi="Cambria" w:cs="Times New Roman"/>
      <w:sz w:val="20"/>
      <w:szCs w:val="20"/>
      <w:lang w:val="es-ES_tradnl" w:eastAsia="es-ES"/>
    </w:rPr>
  </w:style>
  <w:style w:type="paragraph" w:styleId="Prrafodelista">
    <w:name w:val="List Paragraph"/>
    <w:aliases w:val="CNBV Parrafo1,Párrafo de lista1,Parrafo 1,Lista multicolor - Énfasis 11,Lista vistosa - Énfasis 11,Cuadrícula media 1 - Énfasis 21,Cita texto,Footnote,List Paragraph-Thesis,TEXTO GENERAL SENTENCIAS,List Paragraph1,Dot pt,No Spacing1"/>
    <w:basedOn w:val="Normal"/>
    <w:link w:val="PrrafodelistaCar"/>
    <w:uiPriority w:val="34"/>
    <w:qFormat/>
    <w:rsid w:val="00FC329E"/>
    <w:pPr>
      <w:spacing w:after="0" w:line="240" w:lineRule="auto"/>
      <w:ind w:left="720"/>
      <w:contextualSpacing/>
    </w:pPr>
    <w:rPr>
      <w:rFonts w:ascii="Times New Roman" w:eastAsia="Calibri" w:hAnsi="Times New Roman" w:cs="Times New Roman"/>
      <w:sz w:val="24"/>
      <w:szCs w:val="24"/>
      <w:lang w:val="es-ES" w:eastAsia="es-ES"/>
    </w:rPr>
  </w:style>
  <w:style w:type="character" w:styleId="Hipervnculo">
    <w:name w:val="Hyperlink"/>
    <w:rsid w:val="00FC329E"/>
    <w:rPr>
      <w:rFonts w:cs="Times New Roman"/>
      <w:color w:val="0000FF"/>
      <w:u w:val="single"/>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Footnote Car,List Paragraph-Thesis Car,List Paragraph1 Car"/>
    <w:link w:val="Prrafodelista"/>
    <w:uiPriority w:val="34"/>
    <w:qFormat/>
    <w:rsid w:val="00FC329E"/>
    <w:rPr>
      <w:rFonts w:ascii="Times New Roman" w:eastAsia="Calibri" w:hAnsi="Times New Roman" w:cs="Times New Roman"/>
      <w:sz w:val="24"/>
      <w:szCs w:val="24"/>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C329E"/>
    <w:pPr>
      <w:spacing w:after="0" w:line="240" w:lineRule="auto"/>
      <w:jc w:val="both"/>
    </w:pPr>
    <w:rPr>
      <w:vertAlign w:val="superscript"/>
    </w:rPr>
  </w:style>
  <w:style w:type="table" w:styleId="Tablaconcuadrcula">
    <w:name w:val="Table Grid"/>
    <w:basedOn w:val="Tablanormal"/>
    <w:uiPriority w:val="39"/>
    <w:rsid w:val="00EF5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3583F"/>
    <w:rPr>
      <w:color w:val="605E5C"/>
      <w:shd w:val="clear" w:color="auto" w:fill="E1DFDD"/>
    </w:rPr>
  </w:style>
  <w:style w:type="character" w:customStyle="1" w:styleId="Ttulo4Car">
    <w:name w:val="Título 4 Car"/>
    <w:basedOn w:val="Fuentedeprrafopredeter"/>
    <w:link w:val="Ttulo4"/>
    <w:uiPriority w:val="9"/>
    <w:semiHidden/>
    <w:rsid w:val="007270EE"/>
    <w:rPr>
      <w:rFonts w:asciiTheme="majorHAnsi" w:eastAsiaTheme="majorEastAsia" w:hAnsiTheme="majorHAnsi" w:cstheme="majorBidi"/>
      <w:i/>
      <w:iCs/>
      <w:color w:val="2E74B5" w:themeColor="accent1" w:themeShade="BF"/>
    </w:rPr>
  </w:style>
  <w:style w:type="character" w:customStyle="1" w:styleId="Ttulo3Car">
    <w:name w:val="Título 3 Car"/>
    <w:basedOn w:val="Fuentedeprrafopredeter"/>
    <w:link w:val="Ttulo3"/>
    <w:uiPriority w:val="9"/>
    <w:semiHidden/>
    <w:rsid w:val="007270EE"/>
    <w:rPr>
      <w:rFonts w:asciiTheme="majorHAnsi" w:eastAsiaTheme="majorEastAsia" w:hAnsiTheme="majorHAnsi" w:cstheme="majorBidi"/>
      <w:color w:val="1F4D78" w:themeColor="accent1" w:themeShade="7F"/>
      <w:sz w:val="24"/>
      <w:szCs w:val="24"/>
    </w:rPr>
  </w:style>
  <w:style w:type="paragraph" w:styleId="Sinespaciado">
    <w:name w:val="No Spacing"/>
    <w:link w:val="SinespaciadoCar"/>
    <w:uiPriority w:val="1"/>
    <w:qFormat/>
    <w:rsid w:val="00DD255F"/>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DD255F"/>
    <w:rPr>
      <w:rFonts w:ascii="Calibri" w:eastAsia="Calibri" w:hAnsi="Calibri" w:cs="Times New Roman"/>
    </w:rPr>
  </w:style>
  <w:style w:type="paragraph" w:customStyle="1" w:styleId="Normal2">
    <w:name w:val="Normal2"/>
    <w:uiPriority w:val="99"/>
    <w:qFormat/>
    <w:rsid w:val="00EB6417"/>
    <w:pPr>
      <w:pBdr>
        <w:top w:val="nil"/>
        <w:left w:val="nil"/>
        <w:bottom w:val="nil"/>
        <w:right w:val="nil"/>
        <w:between w:val="nil"/>
      </w:pBdr>
      <w:spacing w:after="0" w:line="276" w:lineRule="auto"/>
    </w:pPr>
    <w:rPr>
      <w:rFonts w:ascii="Arial" w:eastAsia="Arial" w:hAnsi="Arial" w:cs="Arial"/>
      <w:color w:val="000000"/>
      <w:lang w:val="uz-Cyrl-UZ" w:eastAsia="es-ES"/>
    </w:rPr>
  </w:style>
  <w:style w:type="character" w:styleId="Textoennegrita">
    <w:name w:val="Strong"/>
    <w:basedOn w:val="Fuentedeprrafopredeter"/>
    <w:uiPriority w:val="22"/>
    <w:qFormat/>
    <w:rsid w:val="00EB6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8021">
      <w:bodyDiv w:val="1"/>
      <w:marLeft w:val="0"/>
      <w:marRight w:val="0"/>
      <w:marTop w:val="0"/>
      <w:marBottom w:val="0"/>
      <w:divBdr>
        <w:top w:val="none" w:sz="0" w:space="0" w:color="auto"/>
        <w:left w:val="none" w:sz="0" w:space="0" w:color="auto"/>
        <w:bottom w:val="none" w:sz="0" w:space="0" w:color="auto"/>
        <w:right w:val="none" w:sz="0" w:space="0" w:color="auto"/>
      </w:divBdr>
      <w:divsChild>
        <w:div w:id="1081872489">
          <w:marLeft w:val="0"/>
          <w:marRight w:val="0"/>
          <w:marTop w:val="150"/>
          <w:marBottom w:val="150"/>
          <w:divBdr>
            <w:top w:val="none" w:sz="0" w:space="0" w:color="auto"/>
            <w:left w:val="none" w:sz="0" w:space="0" w:color="auto"/>
            <w:bottom w:val="none" w:sz="0" w:space="0" w:color="auto"/>
            <w:right w:val="none" w:sz="0" w:space="0" w:color="auto"/>
          </w:divBdr>
          <w:divsChild>
            <w:div w:id="788166392">
              <w:marLeft w:val="0"/>
              <w:marRight w:val="0"/>
              <w:marTop w:val="0"/>
              <w:marBottom w:val="0"/>
              <w:divBdr>
                <w:top w:val="none" w:sz="0" w:space="0" w:color="auto"/>
                <w:left w:val="none" w:sz="0" w:space="0" w:color="auto"/>
                <w:bottom w:val="none" w:sz="0" w:space="0" w:color="auto"/>
                <w:right w:val="none" w:sz="0" w:space="0" w:color="auto"/>
              </w:divBdr>
              <w:divsChild>
                <w:div w:id="18984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7251">
      <w:bodyDiv w:val="1"/>
      <w:marLeft w:val="0"/>
      <w:marRight w:val="0"/>
      <w:marTop w:val="0"/>
      <w:marBottom w:val="0"/>
      <w:divBdr>
        <w:top w:val="none" w:sz="0" w:space="0" w:color="auto"/>
        <w:left w:val="none" w:sz="0" w:space="0" w:color="auto"/>
        <w:bottom w:val="none" w:sz="0" w:space="0" w:color="auto"/>
        <w:right w:val="none" w:sz="0" w:space="0" w:color="auto"/>
      </w:divBdr>
    </w:div>
    <w:div w:id="276447851">
      <w:bodyDiv w:val="1"/>
      <w:marLeft w:val="0"/>
      <w:marRight w:val="0"/>
      <w:marTop w:val="0"/>
      <w:marBottom w:val="0"/>
      <w:divBdr>
        <w:top w:val="none" w:sz="0" w:space="0" w:color="auto"/>
        <w:left w:val="none" w:sz="0" w:space="0" w:color="auto"/>
        <w:bottom w:val="none" w:sz="0" w:space="0" w:color="auto"/>
        <w:right w:val="none" w:sz="0" w:space="0" w:color="auto"/>
      </w:divBdr>
    </w:div>
    <w:div w:id="422603164">
      <w:bodyDiv w:val="1"/>
      <w:marLeft w:val="0"/>
      <w:marRight w:val="0"/>
      <w:marTop w:val="0"/>
      <w:marBottom w:val="0"/>
      <w:divBdr>
        <w:top w:val="none" w:sz="0" w:space="0" w:color="auto"/>
        <w:left w:val="none" w:sz="0" w:space="0" w:color="auto"/>
        <w:bottom w:val="none" w:sz="0" w:space="0" w:color="auto"/>
        <w:right w:val="none" w:sz="0" w:space="0" w:color="auto"/>
      </w:divBdr>
    </w:div>
    <w:div w:id="579022276">
      <w:bodyDiv w:val="1"/>
      <w:marLeft w:val="0"/>
      <w:marRight w:val="0"/>
      <w:marTop w:val="0"/>
      <w:marBottom w:val="0"/>
      <w:divBdr>
        <w:top w:val="none" w:sz="0" w:space="0" w:color="auto"/>
        <w:left w:val="none" w:sz="0" w:space="0" w:color="auto"/>
        <w:bottom w:val="none" w:sz="0" w:space="0" w:color="auto"/>
        <w:right w:val="none" w:sz="0" w:space="0" w:color="auto"/>
      </w:divBdr>
    </w:div>
    <w:div w:id="628168011">
      <w:bodyDiv w:val="1"/>
      <w:marLeft w:val="0"/>
      <w:marRight w:val="0"/>
      <w:marTop w:val="0"/>
      <w:marBottom w:val="0"/>
      <w:divBdr>
        <w:top w:val="none" w:sz="0" w:space="0" w:color="auto"/>
        <w:left w:val="none" w:sz="0" w:space="0" w:color="auto"/>
        <w:bottom w:val="none" w:sz="0" w:space="0" w:color="auto"/>
        <w:right w:val="none" w:sz="0" w:space="0" w:color="auto"/>
      </w:divBdr>
      <w:divsChild>
        <w:div w:id="2078551471">
          <w:marLeft w:val="0"/>
          <w:marRight w:val="0"/>
          <w:marTop w:val="150"/>
          <w:marBottom w:val="150"/>
          <w:divBdr>
            <w:top w:val="none" w:sz="0" w:space="0" w:color="auto"/>
            <w:left w:val="none" w:sz="0" w:space="0" w:color="auto"/>
            <w:bottom w:val="none" w:sz="0" w:space="0" w:color="auto"/>
            <w:right w:val="none" w:sz="0" w:space="0" w:color="auto"/>
          </w:divBdr>
          <w:divsChild>
            <w:div w:id="91559177">
              <w:marLeft w:val="0"/>
              <w:marRight w:val="0"/>
              <w:marTop w:val="0"/>
              <w:marBottom w:val="0"/>
              <w:divBdr>
                <w:top w:val="none" w:sz="0" w:space="0" w:color="auto"/>
                <w:left w:val="none" w:sz="0" w:space="0" w:color="auto"/>
                <w:bottom w:val="none" w:sz="0" w:space="0" w:color="auto"/>
                <w:right w:val="none" w:sz="0" w:space="0" w:color="auto"/>
              </w:divBdr>
              <w:divsChild>
                <w:div w:id="20154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43106">
      <w:bodyDiv w:val="1"/>
      <w:marLeft w:val="0"/>
      <w:marRight w:val="0"/>
      <w:marTop w:val="0"/>
      <w:marBottom w:val="0"/>
      <w:divBdr>
        <w:top w:val="none" w:sz="0" w:space="0" w:color="auto"/>
        <w:left w:val="none" w:sz="0" w:space="0" w:color="auto"/>
        <w:bottom w:val="none" w:sz="0" w:space="0" w:color="auto"/>
        <w:right w:val="none" w:sz="0" w:space="0" w:color="auto"/>
      </w:divBdr>
    </w:div>
    <w:div w:id="691031122">
      <w:bodyDiv w:val="1"/>
      <w:marLeft w:val="0"/>
      <w:marRight w:val="0"/>
      <w:marTop w:val="0"/>
      <w:marBottom w:val="0"/>
      <w:divBdr>
        <w:top w:val="none" w:sz="0" w:space="0" w:color="auto"/>
        <w:left w:val="none" w:sz="0" w:space="0" w:color="auto"/>
        <w:bottom w:val="none" w:sz="0" w:space="0" w:color="auto"/>
        <w:right w:val="none" w:sz="0" w:space="0" w:color="auto"/>
      </w:divBdr>
    </w:div>
    <w:div w:id="692148707">
      <w:bodyDiv w:val="1"/>
      <w:marLeft w:val="0"/>
      <w:marRight w:val="0"/>
      <w:marTop w:val="0"/>
      <w:marBottom w:val="0"/>
      <w:divBdr>
        <w:top w:val="none" w:sz="0" w:space="0" w:color="auto"/>
        <w:left w:val="none" w:sz="0" w:space="0" w:color="auto"/>
        <w:bottom w:val="none" w:sz="0" w:space="0" w:color="auto"/>
        <w:right w:val="none" w:sz="0" w:space="0" w:color="auto"/>
      </w:divBdr>
      <w:divsChild>
        <w:div w:id="2109155599">
          <w:marLeft w:val="0"/>
          <w:marRight w:val="0"/>
          <w:marTop w:val="0"/>
          <w:marBottom w:val="0"/>
          <w:divBdr>
            <w:top w:val="none" w:sz="0" w:space="0" w:color="auto"/>
            <w:left w:val="none" w:sz="0" w:space="0" w:color="auto"/>
            <w:bottom w:val="none" w:sz="0" w:space="0" w:color="auto"/>
            <w:right w:val="none" w:sz="0" w:space="0" w:color="auto"/>
          </w:divBdr>
          <w:divsChild>
            <w:div w:id="1507404416">
              <w:marLeft w:val="-225"/>
              <w:marRight w:val="-225"/>
              <w:marTop w:val="0"/>
              <w:marBottom w:val="0"/>
              <w:divBdr>
                <w:top w:val="none" w:sz="0" w:space="0" w:color="auto"/>
                <w:left w:val="none" w:sz="0" w:space="0" w:color="auto"/>
                <w:bottom w:val="none" w:sz="0" w:space="0" w:color="auto"/>
                <w:right w:val="none" w:sz="0" w:space="0" w:color="auto"/>
              </w:divBdr>
              <w:divsChild>
                <w:div w:id="1707489189">
                  <w:marLeft w:val="0"/>
                  <w:marRight w:val="0"/>
                  <w:marTop w:val="0"/>
                  <w:marBottom w:val="0"/>
                  <w:divBdr>
                    <w:top w:val="none" w:sz="0" w:space="0" w:color="auto"/>
                    <w:left w:val="none" w:sz="0" w:space="0" w:color="auto"/>
                    <w:bottom w:val="none" w:sz="0" w:space="0" w:color="auto"/>
                    <w:right w:val="none" w:sz="0" w:space="0" w:color="auto"/>
                  </w:divBdr>
                  <w:divsChild>
                    <w:div w:id="1109818923">
                      <w:marLeft w:val="-225"/>
                      <w:marRight w:val="-225"/>
                      <w:marTop w:val="0"/>
                      <w:marBottom w:val="0"/>
                      <w:divBdr>
                        <w:top w:val="none" w:sz="0" w:space="0" w:color="auto"/>
                        <w:left w:val="none" w:sz="0" w:space="0" w:color="auto"/>
                        <w:bottom w:val="none" w:sz="0" w:space="0" w:color="auto"/>
                        <w:right w:val="none" w:sz="0" w:space="0" w:color="auto"/>
                      </w:divBdr>
                      <w:divsChild>
                        <w:div w:id="133108906">
                          <w:marLeft w:val="0"/>
                          <w:marRight w:val="0"/>
                          <w:marTop w:val="0"/>
                          <w:marBottom w:val="0"/>
                          <w:divBdr>
                            <w:top w:val="none" w:sz="0" w:space="0" w:color="auto"/>
                            <w:left w:val="none" w:sz="0" w:space="0" w:color="auto"/>
                            <w:bottom w:val="none" w:sz="0" w:space="0" w:color="auto"/>
                            <w:right w:val="none" w:sz="0" w:space="0" w:color="auto"/>
                          </w:divBdr>
                          <w:divsChild>
                            <w:div w:id="1327055286">
                              <w:marLeft w:val="-225"/>
                              <w:marRight w:val="-225"/>
                              <w:marTop w:val="0"/>
                              <w:marBottom w:val="0"/>
                              <w:divBdr>
                                <w:top w:val="none" w:sz="0" w:space="0" w:color="auto"/>
                                <w:left w:val="none" w:sz="0" w:space="0" w:color="auto"/>
                                <w:bottom w:val="none" w:sz="0" w:space="0" w:color="auto"/>
                                <w:right w:val="none" w:sz="0" w:space="0" w:color="auto"/>
                              </w:divBdr>
                              <w:divsChild>
                                <w:div w:id="143399573">
                                  <w:marLeft w:val="0"/>
                                  <w:marRight w:val="0"/>
                                  <w:marTop w:val="0"/>
                                  <w:marBottom w:val="0"/>
                                  <w:divBdr>
                                    <w:top w:val="none" w:sz="0" w:space="0" w:color="auto"/>
                                    <w:left w:val="none" w:sz="0" w:space="0" w:color="auto"/>
                                    <w:bottom w:val="none" w:sz="0" w:space="0" w:color="auto"/>
                                    <w:right w:val="none" w:sz="0" w:space="0" w:color="auto"/>
                                  </w:divBdr>
                                  <w:divsChild>
                                    <w:div w:id="1028529948">
                                      <w:marLeft w:val="-225"/>
                                      <w:marRight w:val="-225"/>
                                      <w:marTop w:val="0"/>
                                      <w:marBottom w:val="1125"/>
                                      <w:divBdr>
                                        <w:top w:val="none" w:sz="0" w:space="0" w:color="auto"/>
                                        <w:left w:val="none" w:sz="0" w:space="0" w:color="auto"/>
                                        <w:bottom w:val="none" w:sz="0" w:space="0" w:color="auto"/>
                                        <w:right w:val="none" w:sz="0" w:space="0" w:color="auto"/>
                                      </w:divBdr>
                                      <w:divsChild>
                                        <w:div w:id="169754194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914594">
      <w:bodyDiv w:val="1"/>
      <w:marLeft w:val="0"/>
      <w:marRight w:val="0"/>
      <w:marTop w:val="0"/>
      <w:marBottom w:val="0"/>
      <w:divBdr>
        <w:top w:val="none" w:sz="0" w:space="0" w:color="auto"/>
        <w:left w:val="none" w:sz="0" w:space="0" w:color="auto"/>
        <w:bottom w:val="none" w:sz="0" w:space="0" w:color="auto"/>
        <w:right w:val="none" w:sz="0" w:space="0" w:color="auto"/>
      </w:divBdr>
    </w:div>
    <w:div w:id="847327679">
      <w:bodyDiv w:val="1"/>
      <w:marLeft w:val="0"/>
      <w:marRight w:val="0"/>
      <w:marTop w:val="0"/>
      <w:marBottom w:val="0"/>
      <w:divBdr>
        <w:top w:val="none" w:sz="0" w:space="0" w:color="auto"/>
        <w:left w:val="none" w:sz="0" w:space="0" w:color="auto"/>
        <w:bottom w:val="none" w:sz="0" w:space="0" w:color="auto"/>
        <w:right w:val="none" w:sz="0" w:space="0" w:color="auto"/>
      </w:divBdr>
    </w:div>
    <w:div w:id="880089091">
      <w:bodyDiv w:val="1"/>
      <w:marLeft w:val="0"/>
      <w:marRight w:val="0"/>
      <w:marTop w:val="0"/>
      <w:marBottom w:val="0"/>
      <w:divBdr>
        <w:top w:val="none" w:sz="0" w:space="0" w:color="auto"/>
        <w:left w:val="none" w:sz="0" w:space="0" w:color="auto"/>
        <w:bottom w:val="none" w:sz="0" w:space="0" w:color="auto"/>
        <w:right w:val="none" w:sz="0" w:space="0" w:color="auto"/>
      </w:divBdr>
    </w:div>
    <w:div w:id="1243102864">
      <w:bodyDiv w:val="1"/>
      <w:marLeft w:val="0"/>
      <w:marRight w:val="0"/>
      <w:marTop w:val="0"/>
      <w:marBottom w:val="0"/>
      <w:divBdr>
        <w:top w:val="none" w:sz="0" w:space="0" w:color="auto"/>
        <w:left w:val="none" w:sz="0" w:space="0" w:color="auto"/>
        <w:bottom w:val="none" w:sz="0" w:space="0" w:color="auto"/>
        <w:right w:val="none" w:sz="0" w:space="0" w:color="auto"/>
      </w:divBdr>
    </w:div>
    <w:div w:id="1322467093">
      <w:bodyDiv w:val="1"/>
      <w:marLeft w:val="0"/>
      <w:marRight w:val="0"/>
      <w:marTop w:val="0"/>
      <w:marBottom w:val="0"/>
      <w:divBdr>
        <w:top w:val="none" w:sz="0" w:space="0" w:color="auto"/>
        <w:left w:val="none" w:sz="0" w:space="0" w:color="auto"/>
        <w:bottom w:val="none" w:sz="0" w:space="0" w:color="auto"/>
        <w:right w:val="none" w:sz="0" w:space="0" w:color="auto"/>
      </w:divBdr>
    </w:div>
    <w:div w:id="1327830354">
      <w:bodyDiv w:val="1"/>
      <w:marLeft w:val="0"/>
      <w:marRight w:val="0"/>
      <w:marTop w:val="0"/>
      <w:marBottom w:val="0"/>
      <w:divBdr>
        <w:top w:val="none" w:sz="0" w:space="0" w:color="auto"/>
        <w:left w:val="none" w:sz="0" w:space="0" w:color="auto"/>
        <w:bottom w:val="none" w:sz="0" w:space="0" w:color="auto"/>
        <w:right w:val="none" w:sz="0" w:space="0" w:color="auto"/>
      </w:divBdr>
      <w:divsChild>
        <w:div w:id="575089145">
          <w:marLeft w:val="0"/>
          <w:marRight w:val="0"/>
          <w:marTop w:val="150"/>
          <w:marBottom w:val="150"/>
          <w:divBdr>
            <w:top w:val="none" w:sz="0" w:space="0" w:color="auto"/>
            <w:left w:val="none" w:sz="0" w:space="0" w:color="auto"/>
            <w:bottom w:val="none" w:sz="0" w:space="0" w:color="auto"/>
            <w:right w:val="none" w:sz="0" w:space="0" w:color="auto"/>
          </w:divBdr>
          <w:divsChild>
            <w:div w:id="665134133">
              <w:marLeft w:val="0"/>
              <w:marRight w:val="0"/>
              <w:marTop w:val="0"/>
              <w:marBottom w:val="0"/>
              <w:divBdr>
                <w:top w:val="none" w:sz="0" w:space="0" w:color="auto"/>
                <w:left w:val="none" w:sz="0" w:space="0" w:color="auto"/>
                <w:bottom w:val="none" w:sz="0" w:space="0" w:color="auto"/>
                <w:right w:val="none" w:sz="0" w:space="0" w:color="auto"/>
              </w:divBdr>
              <w:divsChild>
                <w:div w:id="17960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29732">
      <w:bodyDiv w:val="1"/>
      <w:marLeft w:val="0"/>
      <w:marRight w:val="0"/>
      <w:marTop w:val="0"/>
      <w:marBottom w:val="0"/>
      <w:divBdr>
        <w:top w:val="none" w:sz="0" w:space="0" w:color="auto"/>
        <w:left w:val="none" w:sz="0" w:space="0" w:color="auto"/>
        <w:bottom w:val="none" w:sz="0" w:space="0" w:color="auto"/>
        <w:right w:val="none" w:sz="0" w:space="0" w:color="auto"/>
      </w:divBdr>
    </w:div>
    <w:div w:id="1836267250">
      <w:bodyDiv w:val="1"/>
      <w:marLeft w:val="0"/>
      <w:marRight w:val="0"/>
      <w:marTop w:val="0"/>
      <w:marBottom w:val="0"/>
      <w:divBdr>
        <w:top w:val="none" w:sz="0" w:space="0" w:color="auto"/>
        <w:left w:val="none" w:sz="0" w:space="0" w:color="auto"/>
        <w:bottom w:val="none" w:sz="0" w:space="0" w:color="auto"/>
        <w:right w:val="none" w:sz="0" w:space="0" w:color="auto"/>
      </w:divBdr>
      <w:divsChild>
        <w:div w:id="972442245">
          <w:marLeft w:val="0"/>
          <w:marRight w:val="0"/>
          <w:marTop w:val="150"/>
          <w:marBottom w:val="150"/>
          <w:divBdr>
            <w:top w:val="none" w:sz="0" w:space="0" w:color="auto"/>
            <w:left w:val="none" w:sz="0" w:space="0" w:color="auto"/>
            <w:bottom w:val="none" w:sz="0" w:space="0" w:color="auto"/>
            <w:right w:val="none" w:sz="0" w:space="0" w:color="auto"/>
          </w:divBdr>
          <w:divsChild>
            <w:div w:id="1755542831">
              <w:marLeft w:val="0"/>
              <w:marRight w:val="0"/>
              <w:marTop w:val="0"/>
              <w:marBottom w:val="0"/>
              <w:divBdr>
                <w:top w:val="none" w:sz="0" w:space="0" w:color="auto"/>
                <w:left w:val="none" w:sz="0" w:space="0" w:color="auto"/>
                <w:bottom w:val="none" w:sz="0" w:space="0" w:color="auto"/>
                <w:right w:val="none" w:sz="0" w:space="0" w:color="auto"/>
              </w:divBdr>
              <w:divsChild>
                <w:div w:id="9071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02272">
      <w:bodyDiv w:val="1"/>
      <w:marLeft w:val="0"/>
      <w:marRight w:val="0"/>
      <w:marTop w:val="0"/>
      <w:marBottom w:val="0"/>
      <w:divBdr>
        <w:top w:val="none" w:sz="0" w:space="0" w:color="auto"/>
        <w:left w:val="none" w:sz="0" w:space="0" w:color="auto"/>
        <w:bottom w:val="none" w:sz="0" w:space="0" w:color="auto"/>
        <w:right w:val="none" w:sz="0" w:space="0" w:color="auto"/>
      </w:divBdr>
    </w:div>
    <w:div w:id="1991057124">
      <w:bodyDiv w:val="1"/>
      <w:marLeft w:val="0"/>
      <w:marRight w:val="0"/>
      <w:marTop w:val="0"/>
      <w:marBottom w:val="0"/>
      <w:divBdr>
        <w:top w:val="none" w:sz="0" w:space="0" w:color="auto"/>
        <w:left w:val="none" w:sz="0" w:space="0" w:color="auto"/>
        <w:bottom w:val="none" w:sz="0" w:space="0" w:color="auto"/>
        <w:right w:val="none" w:sz="0" w:space="0" w:color="auto"/>
      </w:divBdr>
    </w:div>
    <w:div w:id="2068145959">
      <w:bodyDiv w:val="1"/>
      <w:marLeft w:val="0"/>
      <w:marRight w:val="0"/>
      <w:marTop w:val="0"/>
      <w:marBottom w:val="0"/>
      <w:divBdr>
        <w:top w:val="none" w:sz="0" w:space="0" w:color="auto"/>
        <w:left w:val="none" w:sz="0" w:space="0" w:color="auto"/>
        <w:bottom w:val="none" w:sz="0" w:space="0" w:color="auto"/>
        <w:right w:val="none" w:sz="0" w:space="0" w:color="auto"/>
      </w:divBdr>
      <w:divsChild>
        <w:div w:id="1757171517">
          <w:marLeft w:val="0"/>
          <w:marRight w:val="0"/>
          <w:marTop w:val="0"/>
          <w:marBottom w:val="0"/>
          <w:divBdr>
            <w:top w:val="none" w:sz="0" w:space="0" w:color="auto"/>
            <w:left w:val="none" w:sz="0" w:space="0" w:color="auto"/>
            <w:bottom w:val="none" w:sz="0" w:space="0" w:color="auto"/>
            <w:right w:val="none" w:sz="0" w:space="0" w:color="auto"/>
          </w:divBdr>
          <w:divsChild>
            <w:div w:id="1864400561">
              <w:marLeft w:val="-225"/>
              <w:marRight w:val="-225"/>
              <w:marTop w:val="0"/>
              <w:marBottom w:val="0"/>
              <w:divBdr>
                <w:top w:val="none" w:sz="0" w:space="0" w:color="auto"/>
                <w:left w:val="none" w:sz="0" w:space="0" w:color="auto"/>
                <w:bottom w:val="none" w:sz="0" w:space="0" w:color="auto"/>
                <w:right w:val="none" w:sz="0" w:space="0" w:color="auto"/>
              </w:divBdr>
              <w:divsChild>
                <w:div w:id="1535120448">
                  <w:marLeft w:val="0"/>
                  <w:marRight w:val="0"/>
                  <w:marTop w:val="0"/>
                  <w:marBottom w:val="0"/>
                  <w:divBdr>
                    <w:top w:val="none" w:sz="0" w:space="0" w:color="auto"/>
                    <w:left w:val="none" w:sz="0" w:space="0" w:color="auto"/>
                    <w:bottom w:val="none" w:sz="0" w:space="0" w:color="auto"/>
                    <w:right w:val="none" w:sz="0" w:space="0" w:color="auto"/>
                  </w:divBdr>
                  <w:divsChild>
                    <w:div w:id="787043389">
                      <w:marLeft w:val="-225"/>
                      <w:marRight w:val="-225"/>
                      <w:marTop w:val="0"/>
                      <w:marBottom w:val="0"/>
                      <w:divBdr>
                        <w:top w:val="none" w:sz="0" w:space="0" w:color="auto"/>
                        <w:left w:val="none" w:sz="0" w:space="0" w:color="auto"/>
                        <w:bottom w:val="none" w:sz="0" w:space="0" w:color="auto"/>
                        <w:right w:val="none" w:sz="0" w:space="0" w:color="auto"/>
                      </w:divBdr>
                      <w:divsChild>
                        <w:div w:id="202375689">
                          <w:marLeft w:val="0"/>
                          <w:marRight w:val="0"/>
                          <w:marTop w:val="0"/>
                          <w:marBottom w:val="0"/>
                          <w:divBdr>
                            <w:top w:val="none" w:sz="0" w:space="0" w:color="auto"/>
                            <w:left w:val="none" w:sz="0" w:space="0" w:color="auto"/>
                            <w:bottom w:val="none" w:sz="0" w:space="0" w:color="auto"/>
                            <w:right w:val="none" w:sz="0" w:space="0" w:color="auto"/>
                          </w:divBdr>
                          <w:divsChild>
                            <w:div w:id="1646546172">
                              <w:marLeft w:val="-225"/>
                              <w:marRight w:val="-225"/>
                              <w:marTop w:val="0"/>
                              <w:marBottom w:val="0"/>
                              <w:divBdr>
                                <w:top w:val="none" w:sz="0" w:space="0" w:color="auto"/>
                                <w:left w:val="none" w:sz="0" w:space="0" w:color="auto"/>
                                <w:bottom w:val="none" w:sz="0" w:space="0" w:color="auto"/>
                                <w:right w:val="none" w:sz="0" w:space="0" w:color="auto"/>
                              </w:divBdr>
                              <w:divsChild>
                                <w:div w:id="636569721">
                                  <w:marLeft w:val="0"/>
                                  <w:marRight w:val="0"/>
                                  <w:marTop w:val="0"/>
                                  <w:marBottom w:val="0"/>
                                  <w:divBdr>
                                    <w:top w:val="none" w:sz="0" w:space="0" w:color="auto"/>
                                    <w:left w:val="none" w:sz="0" w:space="0" w:color="auto"/>
                                    <w:bottom w:val="none" w:sz="0" w:space="0" w:color="auto"/>
                                    <w:right w:val="none" w:sz="0" w:space="0" w:color="auto"/>
                                  </w:divBdr>
                                  <w:divsChild>
                                    <w:div w:id="1979605583">
                                      <w:marLeft w:val="-225"/>
                                      <w:marRight w:val="-225"/>
                                      <w:marTop w:val="0"/>
                                      <w:marBottom w:val="1125"/>
                                      <w:divBdr>
                                        <w:top w:val="none" w:sz="0" w:space="0" w:color="auto"/>
                                        <w:left w:val="none" w:sz="0" w:space="0" w:color="auto"/>
                                        <w:bottom w:val="none" w:sz="0" w:space="0" w:color="auto"/>
                                        <w:right w:val="none" w:sz="0" w:space="0" w:color="auto"/>
                                      </w:divBdr>
                                      <w:divsChild>
                                        <w:div w:id="22553589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dof.gob.mx/nota_detalle.php?codigo=5602447&amp;fecha=13/10/2020" TargetMode="External"/><Relationship Id="rId1" Type="http://schemas.openxmlformats.org/officeDocument/2006/relationships/hyperlink" Target="http://www.te.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uis.gallegos\Desktop\SG-JE-27-2020\SG-JE-27-2020%20Avanc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A9EEAF4089F9C40A2FCC306502E0E35" ma:contentTypeVersion="2" ma:contentTypeDescription="Crear nuevo documento." ma:contentTypeScope="" ma:versionID="c377c6deccaa63c7fe887da0122029c4">
  <xsd:schema xmlns:xsd="http://www.w3.org/2001/XMLSchema" xmlns:xs="http://www.w3.org/2001/XMLSchema" xmlns:p="http://schemas.microsoft.com/office/2006/metadata/properties" xmlns:ns3="53eb4981-5da5-46bd-8b5b-254d39b44eef" targetNamespace="http://schemas.microsoft.com/office/2006/metadata/properties" ma:root="true" ma:fieldsID="9f912f836c253b61223be0928d63930e" ns3:_="">
    <xsd:import namespace="53eb4981-5da5-46bd-8b5b-254d39b44ee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b4981-5da5-46bd-8b5b-254d39b4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063B-F354-43E3-95E8-C786E5CA0939}">
  <ds:schemaRefs>
    <ds:schemaRef ds:uri="http://schemas.microsoft.com/sharepoint/v3/contenttype/forms"/>
  </ds:schemaRefs>
</ds:datastoreItem>
</file>

<file path=customXml/itemProps2.xml><?xml version="1.0" encoding="utf-8"?>
<ds:datastoreItem xmlns:ds="http://schemas.openxmlformats.org/officeDocument/2006/customXml" ds:itemID="{097A2BFE-8E61-4E06-B97F-63CF5BB54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b4981-5da5-46bd-8b5b-254d39b44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D277B-1328-4C65-A3F5-86753F3DDD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FD3E33-26CE-4485-B3B4-CB1A34E9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SG-JE-27-2020 Avance</Template>
  <TotalTime>275</TotalTime>
  <Pages>23</Pages>
  <Words>6709</Words>
  <Characters>36900</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Edwin Guzmán Ramírez</dc:creator>
  <cp:keywords/>
  <dc:description/>
  <cp:lastModifiedBy>Enrique Basauri Cagide</cp:lastModifiedBy>
  <cp:revision>29</cp:revision>
  <cp:lastPrinted>2019-06-25T20:21:00Z</cp:lastPrinted>
  <dcterms:created xsi:type="dcterms:W3CDTF">2020-09-19T21:52:00Z</dcterms:created>
  <dcterms:modified xsi:type="dcterms:W3CDTF">2020-10-14T15:55:00Z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0x0101005A9EEAF4089F9C40A2FCC306502E0E35</vt:lpwstr>
  </property>
</Properties>
</file>