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Start w:id="1" w:name="_GoBack"/>
      <w:bookmarkEnd w:id="0"/>
      <w:bookmarkEnd w:id="1"/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SECRETARÍA EJECUTIVA</w:t>
      </w:r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CONSEJO DE PARTICIPACIÓN CIUDADANA </w:t>
      </w:r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 POPULAR PARA LA GOBERNANZA</w:t>
      </w:r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PRESENTE. </w:t>
      </w:r>
    </w:p>
    <w:p w:rsidR="00F93A14" w:rsidRDefault="00F93A14">
      <w:pPr>
        <w:jc w:val="both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 bajo protesta de decir verdad</w:t>
      </w:r>
      <w:r>
        <w:rPr>
          <w:rFonts w:ascii="Calibri" w:eastAsia="Calibri" w:hAnsi="Calibri" w:cs="Calibri"/>
          <w:b/>
        </w:rPr>
        <w:t xml:space="preserve"> informo que puse a disposición de los interesados el Aviso de Privacidad Integral, así como el Aviso de Privacidad Simplificado de la Dirección de Participación Ciudadana del Instituto Electoral y de Participación Ciudadana del Estado de Jalisco y el dive</w:t>
      </w:r>
      <w:r>
        <w:rPr>
          <w:rFonts w:ascii="Calibri" w:eastAsia="Calibri" w:hAnsi="Calibri" w:cs="Calibri"/>
          <w:b/>
        </w:rPr>
        <w:t>rso correspondiente a la Secretaría de Planeación y Participación Ciudadana, por lo cual respetuosamente comparezco; y: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EXPONGO: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Que en mi carácter de representante común de los ciudadanos cuyos datos de identificación aparecen en el anexo que forma parte </w:t>
      </w:r>
      <w:r>
        <w:rPr>
          <w:rFonts w:ascii="Calibri" w:eastAsia="Calibri" w:hAnsi="Calibri" w:cs="Calibri"/>
          <w:b/>
        </w:rPr>
        <w:t xml:space="preserve">del presente escrito, </w:t>
      </w:r>
      <w:r>
        <w:rPr>
          <w:rFonts w:ascii="Calibri" w:eastAsia="Calibri" w:hAnsi="Calibri" w:cs="Calibri"/>
          <w:i/>
        </w:rPr>
        <w:t>bajo protesta de decir verdad</w:t>
      </w:r>
      <w:r>
        <w:rPr>
          <w:rFonts w:ascii="Calibri" w:eastAsia="Calibri" w:hAnsi="Calibri" w:cs="Calibri"/>
          <w:b/>
        </w:rPr>
        <w:t xml:space="preserve"> y con ejercicio de la garantía que en nuestro beneficio prevé el artículo 8, en relación con el articulo 41 base V, apartado C, párrafo 9 de la Constitución Política de los Estados Unidos Mexicanos; con f</w:t>
      </w:r>
      <w:r>
        <w:rPr>
          <w:rFonts w:ascii="Calibri" w:eastAsia="Calibri" w:hAnsi="Calibri" w:cs="Calibri"/>
          <w:b/>
        </w:rPr>
        <w:t>undamento en lo dispuesto por los artículos 11 apartado A y fracción VIII de la Constitución Política del Estado de Jalisco, así como los artículos 124, 125 y 126 de la Ley del Sistema de Participación Ciudadana y Popular para la Gobernanza del Estado de J</w:t>
      </w:r>
      <w:r>
        <w:rPr>
          <w:rFonts w:ascii="Calibri" w:eastAsia="Calibri" w:hAnsi="Calibri" w:cs="Calibri"/>
          <w:b/>
        </w:rPr>
        <w:t>alisco, comparecemos a efecto de presentar la solicitud de asamblea popular relativa al tema</w:t>
      </w:r>
      <w:r>
        <w:rPr>
          <w:rFonts w:ascii="Calibri" w:eastAsia="Calibri" w:hAnsi="Calibri" w:cs="Calibri"/>
          <w:b/>
          <w:i/>
          <w:color w:val="666666"/>
        </w:rPr>
        <w:t xml:space="preserve"> (especificar el tema a tratar así como el lugar y la fecha en que se propone realizar dicho mecanismo)</w:t>
      </w:r>
      <w:r>
        <w:rPr>
          <w:rFonts w:ascii="Calibri" w:eastAsia="Calibri" w:hAnsi="Calibri" w:cs="Calibri"/>
          <w:b/>
        </w:rPr>
        <w:t>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______________________________________________________________de acuerdo a la siguiente: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EXPOSICIÓN DE MOTIVOS: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lastRenderedPageBreak/>
        <w:t>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 lo anterior y de acuerdo al anexo que se acompaña al presente escrito, se acreditan los supuestos de procedibilidad a que se refiere el</w:t>
      </w:r>
      <w:r>
        <w:rPr>
          <w:rFonts w:ascii="Calibri" w:eastAsia="Calibri" w:hAnsi="Calibri" w:cs="Calibri"/>
          <w:b/>
        </w:rPr>
        <w:t xml:space="preserve"> artículo 125 de la Ley del Sistema de Participación Ciudadana y Popular para la Gobernanza del Estado de Jalisco.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Finalmente, derivado de lo estipulado en el artículo 7 de la Ley del Sistema de Participación Ciudadana y Popular para la Gobernanza del Esta</w:t>
      </w:r>
      <w:r>
        <w:rPr>
          <w:rFonts w:ascii="Calibri" w:eastAsia="Calibri" w:hAnsi="Calibri" w:cs="Calibri"/>
          <w:b/>
        </w:rPr>
        <w:t xml:space="preserve">do de Jalisco, en relación con el artículo 450, fracción IV del Código Electoral del Estado de Jalisco, se declara bajo protesta de decir verdad que la información y documentación proporcionada es legítima y veraz, por lo que respetuosamente: 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PEDIMOS: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</w:t>
      </w:r>
      <w:r>
        <w:rPr>
          <w:rFonts w:ascii="Calibri" w:eastAsia="Calibri" w:hAnsi="Calibri" w:cs="Calibri"/>
          <w:b/>
        </w:rPr>
        <w:t>MERO. Se nos tenga en tiempo y forma presentando la solicitud de asamblea popular respecto de___________________________________________________________________________________________________________________________________________________________________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 xml:space="preserve">_______________________________________________________________________________________________________________________misma que se encuentra establecida en el presente escrito. 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SEGUNDO. Se determine sobre la procedencia de la presente solicitud, otorgánd</w:t>
      </w:r>
      <w:r>
        <w:rPr>
          <w:rFonts w:ascii="Calibri" w:eastAsia="Calibri" w:hAnsi="Calibri" w:cs="Calibri"/>
          <w:b/>
        </w:rPr>
        <w:t>osele el trámite que corresponda conforme a derecho.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TERCERO. Toda vez que en el presente se lleva a cabo la recabación de datos personales a través de la firma autógrafa asentada al calce se hace constar que he leído y me encuentro conforme con el aviso </w:t>
      </w:r>
      <w:r>
        <w:rPr>
          <w:rFonts w:ascii="Calibri" w:eastAsia="Calibri" w:hAnsi="Calibri" w:cs="Calibri"/>
          <w:b/>
        </w:rPr>
        <w:t xml:space="preserve">de privacidad disponible en: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https://planeacion.jalisco.gob.mx/politicas-de-privacidad</w:t>
        </w:r>
      </w:hyperlink>
      <w:r>
        <w:rPr>
          <w:rFonts w:ascii="Calibri" w:eastAsia="Calibri" w:hAnsi="Calibri" w:cs="Calibri"/>
          <w:b/>
        </w:rPr>
        <w:t xml:space="preserve"> y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https://iepc.cc/aviso-MPC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ATENTAMENTE      </w:t>
      </w:r>
      <w:r>
        <w:rPr>
          <w:rFonts w:ascii="Calibri" w:eastAsia="Calibri" w:hAnsi="Calibri" w:cs="Calibri"/>
          <w:b/>
        </w:rPr>
        <w:t xml:space="preserve">                                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_____________________________, Jalisco, a_________ de_________ del año_______________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Firma autógrafa.</w:t>
      </w:r>
    </w:p>
    <w:p w:rsidR="00F93A14" w:rsidRDefault="00F93A14"/>
    <w:p w:rsidR="00F93A14" w:rsidRDefault="00F93A14"/>
    <w:p w:rsidR="00F93A14" w:rsidRDefault="00F93A14">
      <w:pPr>
        <w:sectPr w:rsidR="00F93A14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F93A14" w:rsidRDefault="00460F06">
      <w:pPr>
        <w:sectPr w:rsidR="00F93A14">
          <w:headerReference w:type="default" r:id="rId13"/>
          <w:headerReference w:type="first" r:id="rId14"/>
          <w:pgSz w:w="16834" w:h="11909" w:orient="landscape"/>
          <w:pgMar w:top="1440" w:right="1440" w:bottom="1440" w:left="1440" w:header="720" w:footer="720" w:gutter="0"/>
          <w:cols w:space="720"/>
          <w:titlePg/>
        </w:sectPr>
      </w:pPr>
      <w:r>
        <w:rPr>
          <w:noProof/>
          <w:lang w:val="es-MX"/>
        </w:rPr>
        <w:lastRenderedPageBreak/>
        <w:drawing>
          <wp:inline distT="114300" distB="114300" distL="114300" distR="114300">
            <wp:extent cx="10539413" cy="6574866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l="15252" t="17399" r="15895" b="6118"/>
                    <a:stretch>
                      <a:fillRect/>
                    </a:stretch>
                  </pic:blipFill>
                  <pic:spPr>
                    <a:xfrm>
                      <a:off x="0" y="0"/>
                      <a:ext cx="10539413" cy="6574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3A14" w:rsidRDefault="00460F06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Capítulo XIII</w:t>
      </w:r>
    </w:p>
    <w:p w:rsidR="00F93A14" w:rsidRDefault="00460F06">
      <w:pPr>
        <w:spacing w:before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Asamblea Popular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124.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 asamblea popular es un mecanismo de participación, mediante el cual los habitantes del Estado o de un municipio construyen un espacio para la opinión sobre temas de interés general o asuntos de carácter local o de impac</w:t>
      </w:r>
      <w:r>
        <w:rPr>
          <w:sz w:val="20"/>
          <w:szCs w:val="20"/>
        </w:rPr>
        <w:t>to en la comunidad.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125.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Pueden solicitar que se convoque a asamblea popular: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I. Los habitantes del  Estado de Jalisco;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II. Los habitantes de una o varias demarcaciones territoriales;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III. Los habitantes organizados en alguna actividad económ</w:t>
      </w:r>
      <w:r>
        <w:rPr>
          <w:sz w:val="20"/>
          <w:szCs w:val="20"/>
        </w:rPr>
        <w:t>ica, profesional, social, cultural o comunal.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126.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Los habitantes que deseen llevar a cabo las asambleas ciudadanas en el ámbito estatal darán aviso al Consejo, a través de la Secretaría Ejecutiva, del tema, del lugar y de la fecha en que se ll</w:t>
      </w:r>
      <w:r>
        <w:rPr>
          <w:sz w:val="20"/>
          <w:szCs w:val="20"/>
        </w:rPr>
        <w:t>evarán a cabo.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Los habitantes que deseen llevar a cabo las asambleas ciudadanas en el ámbito municipal darán aviso al Consejo Municipal correspondiente, del tema, del lugar y de la fecha en que se llevarán a cabo.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3. Los consejos municipales remiten den</w:t>
      </w:r>
      <w:r>
        <w:rPr>
          <w:sz w:val="20"/>
          <w:szCs w:val="20"/>
        </w:rPr>
        <w:t>tro de los siguientes cinco días hábiles a su recepción, copia de todas las solicitudes recibidas a la Secretaría Ejecutiva para su conocimiento y registro.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Artículo 127.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 Secretaría Ejecutiva podrá dar difusión de las asambleas ciudadanas y recoge</w:t>
      </w:r>
      <w:r>
        <w:rPr>
          <w:sz w:val="20"/>
          <w:szCs w:val="20"/>
        </w:rPr>
        <w:t>r, sistematizar y publicar los resultados obtenidos en las mismas.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El Consejo podrá hacer llegar los resultados de las asambleas ciudadanas a las autoridades competentes.</w:t>
      </w:r>
    </w:p>
    <w:p w:rsidR="00F93A14" w:rsidRDefault="00F93A14"/>
    <w:sectPr w:rsidR="00F93A14">
      <w:pgSz w:w="11909" w:h="16834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line="240" w:lineRule="auto"/>
      </w:pPr>
      <w:r>
        <w:separator/>
      </w:r>
    </w:p>
  </w:endnote>
  <w:endnote w:type="continuationSeparator" w:id="0">
    <w:p w:rsidR="00000000" w:rsidRDefault="0046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Consejo de Participación Ciudadana y Popular para la Gobernanz</w:t>
    </w:r>
    <w:r>
      <w:rPr>
        <w:rFonts w:ascii="Calibri" w:eastAsia="Calibri" w:hAnsi="Calibri" w:cs="Calibri"/>
        <w:b/>
        <w:sz w:val="18"/>
        <w:szCs w:val="18"/>
      </w:rPr>
      <w:t>a en Jalisco</w:t>
    </w:r>
  </w:p>
  <w:p w:rsidR="00F93A14" w:rsidRDefault="00460F06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Calle Magisterio 1499, Col. Miraflores, Guadalajara, Jal. C.P. 44270</w:t>
    </w:r>
  </w:p>
  <w:p w:rsidR="00F93A14" w:rsidRDefault="00460F06">
    <w:pPr>
      <w:rPr>
        <w:sz w:val="18"/>
        <w:szCs w:val="18"/>
      </w:rPr>
    </w:pPr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consejopc.sppc@jalisco.gob.mx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F93A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line="240" w:lineRule="auto"/>
      </w:pPr>
      <w:r>
        <w:separator/>
      </w:r>
    </w:p>
  </w:footnote>
  <w:footnote w:type="continuationSeparator" w:id="0">
    <w:p w:rsidR="00000000" w:rsidRDefault="00460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jc w:val="right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ab/>
    </w:r>
    <w:r>
      <w:rPr>
        <w:rFonts w:ascii="Calibri" w:eastAsia="Calibri" w:hAnsi="Calibri" w:cs="Calibri"/>
        <w:b/>
        <w:sz w:val="26"/>
        <w:szCs w:val="26"/>
      </w:rPr>
      <w:tab/>
      <w:t>HOJA _ /_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5105400</wp:posOffset>
          </wp:positionH>
          <wp:positionV relativeFrom="paragraph">
            <wp:posOffset>-285749</wp:posOffset>
          </wp:positionV>
          <wp:extent cx="1022604" cy="571500"/>
          <wp:effectExtent l="0" t="0" r="0" b="0"/>
          <wp:wrapSquare wrapText="bothSides" distT="0" distB="0" distL="114300" distR="11430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-666748</wp:posOffset>
          </wp:positionH>
          <wp:positionV relativeFrom="paragraph">
            <wp:posOffset>-200023</wp:posOffset>
          </wp:positionV>
          <wp:extent cx="2043113" cy="534578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F93A14">
    <w:pPr>
      <w:jc w:val="center"/>
      <w:rPr>
        <w:rFonts w:ascii="Calibri" w:eastAsia="Calibri" w:hAnsi="Calibri" w:cs="Calibri"/>
        <w:b/>
        <w:sz w:val="26"/>
        <w:szCs w:val="26"/>
      </w:rPr>
    </w:pPr>
  </w:p>
  <w:p w:rsidR="00F93A14" w:rsidRDefault="00460F06">
    <w:pPr>
      <w:jc w:val="center"/>
    </w:pPr>
    <w:r>
      <w:rPr>
        <w:rFonts w:ascii="Calibri" w:eastAsia="Calibri" w:hAnsi="Calibri" w:cs="Calibri"/>
        <w:b/>
        <w:sz w:val="26"/>
        <w:szCs w:val="26"/>
      </w:rPr>
      <w:t>FORMATO OFICIAL DE SOLICITUD DE ASAMBLEA POPULAR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pStyle w:val="Ttulo1"/>
      <w:keepNext w:val="0"/>
      <w:keepLines w:val="0"/>
      <w:spacing w:before="480" w:after="160"/>
      <w:ind w:left="20" w:right="20"/>
      <w:jc w:val="center"/>
      <w:rPr>
        <w:b/>
        <w:sz w:val="24"/>
        <w:szCs w:val="24"/>
      </w:rPr>
    </w:pPr>
    <w:bookmarkStart w:id="2" w:name="_heading=h.30j0zll" w:colFirst="0" w:colLast="0"/>
    <w:bookmarkEnd w:id="2"/>
    <w:r>
      <w:rPr>
        <w:b/>
        <w:sz w:val="24"/>
        <w:szCs w:val="24"/>
      </w:rPr>
      <w:t>MARCO JURÍDICO LEGAL DE LA COMPARECENCIA PÚBLICA</w:t>
    </w:r>
    <w:r>
      <w:rPr>
        <w:noProof/>
        <w:lang w:val="es-MX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-761998</wp:posOffset>
          </wp:positionH>
          <wp:positionV relativeFrom="paragraph">
            <wp:posOffset>-323847</wp:posOffset>
          </wp:positionV>
          <wp:extent cx="2043113" cy="534578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jc w:val="center"/>
    </w:pPr>
    <w:r>
      <w:t xml:space="preserve">Ley del Sistema de Participación Ciudadana y Popular para la Gobernanza del Estado de Jalisco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pStyle w:val="Ttulo1"/>
      <w:keepNext w:val="0"/>
      <w:keepLines w:val="0"/>
      <w:spacing w:before="480" w:after="160"/>
      <w:ind w:left="20" w:right="20"/>
      <w:jc w:val="center"/>
      <w:rPr>
        <w:b/>
        <w:sz w:val="24"/>
        <w:szCs w:val="24"/>
      </w:rPr>
    </w:pPr>
    <w:bookmarkStart w:id="3" w:name="_heading=h.1fob9te" w:colFirst="0" w:colLast="0"/>
    <w:bookmarkEnd w:id="3"/>
    <w:r>
      <w:rPr>
        <w:b/>
        <w:sz w:val="24"/>
        <w:szCs w:val="24"/>
      </w:rPr>
      <w:t>MARCO JURÍDICO LEGAL DE LA ASAMBLEA POPULAR</w:t>
    </w:r>
    <w:r>
      <w:rPr>
        <w:noProof/>
        <w:lang w:val="es-MX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-761998</wp:posOffset>
          </wp:positionH>
          <wp:positionV relativeFrom="paragraph">
            <wp:posOffset>-323847</wp:posOffset>
          </wp:positionV>
          <wp:extent cx="2043113" cy="534578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6877050</wp:posOffset>
          </wp:positionH>
          <wp:positionV relativeFrom="paragraph">
            <wp:posOffset>-76198</wp:posOffset>
          </wp:positionV>
          <wp:extent cx="2043113" cy="534578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jc w:val="center"/>
    </w:pPr>
    <w:r>
      <w:t xml:space="preserve">Ley del Sistema de </w:t>
    </w:r>
    <w:r>
      <w:t xml:space="preserve">Participación Ciudadana y Popular para la Gobernanza del Estado de Jalisco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pStyle w:val="Ttulo1"/>
      <w:keepNext w:val="0"/>
      <w:keepLines w:val="0"/>
      <w:spacing w:before="480" w:after="160"/>
      <w:ind w:left="20" w:right="20"/>
      <w:jc w:val="center"/>
      <w:rPr>
        <w:b/>
        <w:sz w:val="24"/>
        <w:szCs w:val="24"/>
      </w:rPr>
    </w:pPr>
    <w:bookmarkStart w:id="4" w:name="_heading=h.3znysh7" w:colFirst="0" w:colLast="0"/>
    <w:bookmarkEnd w:id="4"/>
    <w:r>
      <w:rPr>
        <w:b/>
        <w:sz w:val="24"/>
        <w:szCs w:val="24"/>
      </w:rPr>
      <w:t>MARCO JURÍDICO LEGAL DE LA ASAMBLEA POPULAR</w:t>
    </w:r>
    <w:r>
      <w:rPr>
        <w:noProof/>
        <w:lang w:val="es-MX"/>
      </w:rPr>
      <w:drawing>
        <wp:anchor distT="114300" distB="114300" distL="114300" distR="114300" simplePos="0" relativeHeight="251663360" behindDoc="0" locked="0" layoutInCell="1" hidden="0" allowOverlap="1">
          <wp:simplePos x="0" y="0"/>
          <wp:positionH relativeFrom="column">
            <wp:posOffset>-761998</wp:posOffset>
          </wp:positionH>
          <wp:positionV relativeFrom="paragraph">
            <wp:posOffset>-323847</wp:posOffset>
          </wp:positionV>
          <wp:extent cx="2043113" cy="534578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jc w:val="center"/>
    </w:pPr>
    <w:r>
      <w:t xml:space="preserve">Ley del Sistema de Participación Ciudadana y Popular para la Gobernanza del Estado de Jalisco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896F4-98AC-459F-92BD-740962A8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c.cc/aviso-MP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5JkBYia8Gy7JWsVW0fLVr2FfA==">AMUW2mUi79p9YHeypGsuDe8K2rEq1a5ZnWo3Zg6NLdh/HPnWKBQbSx3pgGehaCrRU/G1LFPS6NtHECJ20av17gNt1AuDMfXg5VPSKf+cYTd6J5oeynMbuhXyQNAZjEiIE/uc8r03WAOtzzuhHiXL7HTrekwsjrZCOnhkQQDlKUDjMWwDbeFgs5E=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Catalina Moya Ibarra</cp:lastModifiedBy>
  <cp:revision>2</cp:revision>
  <dcterms:created xsi:type="dcterms:W3CDTF">2022-08-15T17:03:00Z</dcterms:created>
  <dcterms:modified xsi:type="dcterms:W3CDTF">2022-08-15T17:03:00Z</dcterms:modified>
</cp:coreProperties>
</file>