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Start w:id="1" w:name="_GoBack"/>
      <w:bookmarkEnd w:id="0"/>
      <w:bookmarkEnd w:id="1"/>
    </w:p>
    <w:p w:rsidR="00F93A14" w:rsidRDefault="00F93A14">
      <w:pPr>
        <w:jc w:val="both"/>
        <w:rPr>
          <w:rFonts w:ascii="Calibri" w:eastAsia="Calibri" w:hAnsi="Calibri" w:cs="Calibri"/>
          <w:b/>
        </w:rPr>
      </w:pPr>
      <w:bookmarkStart w:id="2" w:name="_heading=h.n9h9lrssjs1k" w:colFirst="0" w:colLast="0"/>
      <w:bookmarkEnd w:id="2"/>
    </w:p>
    <w:p w:rsidR="00F93A14" w:rsidRDefault="00460F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CONSEJO DE PARTICIPACIÓN CIUDADANA DEL MUNICIPIO DE__________________________________________________________________________</w:t>
      </w:r>
    </w:p>
    <w:p w:rsidR="00F93A14" w:rsidRDefault="00460F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PRESENTE. </w:t>
      </w:r>
    </w:p>
    <w:p w:rsidR="00F93A14" w:rsidRDefault="00F93A14">
      <w:pPr>
        <w:jc w:val="both"/>
        <w:rPr>
          <w:rFonts w:ascii="Calibri" w:eastAsia="Calibri" w:hAnsi="Calibri" w:cs="Calibri"/>
        </w:rPr>
      </w:pPr>
    </w:p>
    <w:p w:rsidR="00F93A14" w:rsidRDefault="00F93A14">
      <w:pPr>
        <w:jc w:val="both"/>
        <w:rPr>
          <w:rFonts w:ascii="Calibri" w:eastAsia="Calibri" w:hAnsi="Calibri" w:cs="Calibri"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____________________________________________________mexican( ), mayor de edad, señalando como domicilio legal para recibir toda clase de notificaciones, ubicado en 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 bajo protesta de decir verdad, informo que puse a disposición de lo</w:t>
      </w:r>
      <w:r>
        <w:rPr>
          <w:rFonts w:ascii="Calibri" w:eastAsia="Calibri" w:hAnsi="Calibri" w:cs="Calibri"/>
          <w:b/>
        </w:rPr>
        <w:t>s interesados el Aviso de Privacidad Integral, así como el Aviso de Privacidad Simplificado de la Dirección de Participación Ciudadana del Instituto Electoral y de Participación Ciudadana del Estado de Jalisco y el diverso correspondiente a la Secretaría d</w:t>
      </w:r>
      <w:r>
        <w:rPr>
          <w:rFonts w:ascii="Calibri" w:eastAsia="Calibri" w:hAnsi="Calibri" w:cs="Calibri"/>
          <w:b/>
        </w:rPr>
        <w:t>e Planeación y Participación Ciudadana, respetuosamente comparezco; y: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EXPONGO: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 en mi carácter de representante común de los ciudadanos cuyos datos de identificación aparecen en el anexo que forma parte del presente escrito, </w:t>
      </w:r>
      <w:r>
        <w:rPr>
          <w:rFonts w:ascii="Calibri" w:eastAsia="Calibri" w:hAnsi="Calibri" w:cs="Calibri"/>
          <w:i/>
        </w:rPr>
        <w:t>bajo protesta de decir ve</w:t>
      </w:r>
      <w:r>
        <w:rPr>
          <w:rFonts w:ascii="Calibri" w:eastAsia="Calibri" w:hAnsi="Calibri" w:cs="Calibri"/>
          <w:i/>
        </w:rPr>
        <w:t>rdad</w:t>
      </w:r>
      <w:r>
        <w:rPr>
          <w:rFonts w:ascii="Calibri" w:eastAsia="Calibri" w:hAnsi="Calibri" w:cs="Calibri"/>
          <w:b/>
        </w:rPr>
        <w:t xml:space="preserve"> y con ejercicio de la garantía que en nuestro beneficio prevé el artículo 8, en relación con el articulo 41 base V, apartado C, párrafo 9 de la Constitución Política de los Estados Unidos Mexicanos; con fundamento en lo dispuesto por los artículos 11 </w:t>
      </w:r>
      <w:r>
        <w:rPr>
          <w:rFonts w:ascii="Calibri" w:eastAsia="Calibri" w:hAnsi="Calibri" w:cs="Calibri"/>
          <w:b/>
        </w:rPr>
        <w:t>apartado A y fracción XII de la Constitución Política del Estado de Jalisco, así como el artículo 128 de la Ley del Sistema de Participación Ciudadana y Popular para la Gobernanza del Estado de Jalisco, comparecemos a efecto de presentar la solicitud de Ay</w:t>
      </w:r>
      <w:r>
        <w:rPr>
          <w:rFonts w:ascii="Calibri" w:eastAsia="Calibri" w:hAnsi="Calibri" w:cs="Calibri"/>
          <w:b/>
        </w:rPr>
        <w:t>untamiento Abierto relativo a las peticiones que a continuación se describen: 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 xml:space="preserve">_________________________________________________________________________________________________________________________________ para lo que se se solicita se nos incorpore dentro de la sesión de ayuntamiento para tratar los mismos. 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EXPOSICIÓN DE MOTIVO</w:t>
      </w:r>
      <w:r>
        <w:rPr>
          <w:rFonts w:ascii="Calibri" w:eastAsia="Calibri" w:hAnsi="Calibri" w:cs="Calibri"/>
          <w:b/>
        </w:rPr>
        <w:t>S: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lastRenderedPageBreak/>
        <w:t>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highlight w:val="yellow"/>
        </w:rPr>
        <w:t>Por lo anterior y de acuerdo al anexo que se acompaña al presente escrito, se acreditan los supuestos de procedibilidad a que se refiere el artículo 128 de la Ley del Sistema de Participación Ciudadana y Popula</w:t>
      </w:r>
      <w:r>
        <w:rPr>
          <w:rFonts w:ascii="Calibri" w:eastAsia="Calibri" w:hAnsi="Calibri" w:cs="Calibri"/>
          <w:b/>
          <w:highlight w:val="yellow"/>
        </w:rPr>
        <w:t>r para la Gobernanza del Estado de Jalisco.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Finalmente, derivado de lo estipulado en el artículo 7 de la Ley del Sistema de Participación Ciudadana y Popular para la Gobernanza del Estado de Jalisco, en relación con el artículo 450, fracción IV del Código </w:t>
      </w:r>
      <w:r>
        <w:rPr>
          <w:rFonts w:ascii="Calibri" w:eastAsia="Calibri" w:hAnsi="Calibri" w:cs="Calibri"/>
          <w:b/>
        </w:rPr>
        <w:t>Electoral del Estado de Jalisco, se declara bajo protesta de decir verdad que la información y documentación proporcionada es legítima y veraz, por lo que respetuosamente: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PEDIMOS: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PRIMERO. Se nos tenga en tiempo y forma presentando la solicitud de Ayunta</w:t>
      </w:r>
      <w:r>
        <w:rPr>
          <w:rFonts w:ascii="Calibri" w:eastAsia="Calibri" w:hAnsi="Calibri" w:cs="Calibri"/>
          <w:b/>
        </w:rPr>
        <w:t>miento abierto respecto de 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 xml:space="preserve">_____________________________________________________________________________________________________________________________mismo que se encuentra establecida en el presente escrito. 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SEGUNDO. Se determine sobre la procedencia de la presente solicitud, o</w:t>
      </w:r>
      <w:r>
        <w:rPr>
          <w:rFonts w:ascii="Calibri" w:eastAsia="Calibri" w:hAnsi="Calibri" w:cs="Calibri"/>
          <w:b/>
        </w:rPr>
        <w:t>torgándosele el trámite que corresponda conforme a derecho.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TERCERO. Toda vez que en el presente se lleva a cabo la recabación de datos personales a través de la firma autógrafa asentada al calce hago constar que he leído y me encuentro conforme con el av</w:t>
      </w:r>
      <w:r>
        <w:rPr>
          <w:rFonts w:ascii="Calibri" w:eastAsia="Calibri" w:hAnsi="Calibri" w:cs="Calibri"/>
          <w:b/>
        </w:rPr>
        <w:t xml:space="preserve">iso de privacidad disponible en la página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https://planeacion.jalisco.gob.mx/politicas-de-privacidad</w:t>
        </w:r>
      </w:hyperlink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ATENTAMENTE</w:t>
      </w: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_____________________________, Jalisco, a_________ de_________ del </w:t>
      </w:r>
      <w:r>
        <w:rPr>
          <w:rFonts w:ascii="Calibri" w:eastAsia="Calibri" w:hAnsi="Calibri" w:cs="Calibri"/>
          <w:b/>
        </w:rPr>
        <w:t>año_______________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Firma autógrafa</w:t>
      </w:r>
    </w:p>
    <w:p w:rsidR="00F93A14" w:rsidRDefault="00F93A14">
      <w:pPr>
        <w:spacing w:after="200"/>
        <w:rPr>
          <w:rFonts w:ascii="Calibri" w:eastAsia="Calibri" w:hAnsi="Calibri" w:cs="Calibri"/>
          <w:b/>
        </w:rPr>
        <w:sectPr w:rsidR="00F93A1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F93A14" w:rsidRDefault="00460F06">
      <w:pPr>
        <w:spacing w:after="200"/>
        <w:sectPr w:rsidR="00F93A14">
          <w:headerReference w:type="default" r:id="rId12"/>
          <w:pgSz w:w="16834" w:h="11909" w:orient="landscape"/>
          <w:pgMar w:top="1440" w:right="1440" w:bottom="1440" w:left="1440" w:header="720" w:footer="720" w:gutter="0"/>
          <w:cols w:space="720"/>
          <w:titlePg/>
        </w:sectPr>
      </w:pPr>
      <w:r>
        <w:rPr>
          <w:rFonts w:ascii="Calibri" w:eastAsia="Calibri" w:hAnsi="Calibri" w:cs="Calibri"/>
          <w:b/>
          <w:noProof/>
          <w:lang w:val="es-MX"/>
        </w:rPr>
        <w:lastRenderedPageBreak/>
        <w:drawing>
          <wp:inline distT="114300" distB="114300" distL="114300" distR="114300">
            <wp:extent cx="9634538" cy="5961199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l="14929" t="14802" r="13748" b="14629"/>
                    <a:stretch>
                      <a:fillRect/>
                    </a:stretch>
                  </pic:blipFill>
                  <pic:spPr>
                    <a:xfrm>
                      <a:off x="0" y="0"/>
                      <a:ext cx="9634538" cy="5961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3A14" w:rsidRDefault="00460F06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Capítulo XIV</w:t>
      </w:r>
    </w:p>
    <w:p w:rsidR="00F93A14" w:rsidRDefault="00460F06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Ayuntamiento Abierto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Artículo 128.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El ayuntamiento abierto es el mecanismo de participación mediante el cual los habitantes de un municipio a través de representantes de asociaciones vecinales debidamente registradas, tienen derecho a presentar propuestas o peticiones en las sesiones ord</w:t>
      </w:r>
      <w:r>
        <w:rPr>
          <w:sz w:val="20"/>
          <w:szCs w:val="20"/>
        </w:rPr>
        <w:t>inarias que celebre el ayuntamiento con este fin.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Artículo 129.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Las sesiones de ayuntamiento abierto son públicas y se llevan a cabo de manera mensual.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El ayuntamiento en casos especiales puede ordenar que las sesiones se celebren fuera de su sede </w:t>
      </w:r>
      <w:r>
        <w:rPr>
          <w:sz w:val="20"/>
          <w:szCs w:val="20"/>
        </w:rPr>
        <w:t>oficial, en los barrios, colonias y poblados del municipio.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Artículo 130.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Para la celebración y desahogo de la sesión de Ayuntamiento Abierto, el Ayuntamiento, a través del Consejo Municipal emite la convocatoria con diez días hábiles</w:t>
      </w:r>
      <w:r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>de anticipación.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La convocatoria que emita el Consejo municipal debe contener por lo menos lo siguiente: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I. Identificación del Ayuntamiento convocante;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II. Temas que motivan la sesión de ayuntamiento abierto;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III. Lugar, día y horario para el registro de los habita</w:t>
      </w:r>
      <w:r>
        <w:rPr>
          <w:sz w:val="20"/>
          <w:szCs w:val="20"/>
        </w:rPr>
        <w:t>ntes que deseen participar; y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IV. Lugar, día y hora de la celebración de la sesión de ayuntamiento abierto.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 La convocatoria es publicada en la gaceta municipal, se debe fijar en lugares públicos y se le da la mayor difusión posible.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Artículo 131.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 xml:space="preserve"> Las y los habitantes del municipio pueden asistir a la sesión de Ayuntamiento Abierto en calidad de participantes o como público asistente.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Artículo 132.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Al término de la sesión de ayuntamiento abierto se levanta un acta con los resultados de la misma</w:t>
      </w:r>
      <w:r>
        <w:rPr>
          <w:sz w:val="20"/>
          <w:szCs w:val="20"/>
        </w:rPr>
        <w:t>.</w:t>
      </w:r>
    </w:p>
    <w:p w:rsidR="00F93A14" w:rsidRDefault="00460F06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sz w:val="20"/>
          <w:szCs w:val="20"/>
        </w:rPr>
        <w:t xml:space="preserve"> 2. El Ayuntamiento dará puntual seguimiento y mantendrá informados a los participantes, respecto de los asuntos tratados en la sesión.</w:t>
      </w:r>
    </w:p>
    <w:sectPr w:rsidR="00F93A14">
      <w:pgSz w:w="11909" w:h="16834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line="240" w:lineRule="auto"/>
      </w:pPr>
      <w:r>
        <w:separator/>
      </w:r>
    </w:p>
  </w:endnote>
  <w:endnote w:type="continuationSeparator" w:id="0">
    <w:p w:rsidR="00000000" w:rsidRDefault="00460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Consejo de Participación Ciudadana y Popular para la Gobernanza en Jalisco</w:t>
    </w:r>
  </w:p>
  <w:p w:rsidR="00F93A14" w:rsidRDefault="00460F06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Calle Magisterio 1499, Col. Miraflores, Guadalajara, Jal. C.P. 44270</w:t>
    </w:r>
  </w:p>
  <w:p w:rsidR="00F93A14" w:rsidRDefault="00460F06">
    <w:pPr>
      <w:rPr>
        <w:rFonts w:ascii="Calibri" w:eastAsia="Calibri" w:hAnsi="Calibri" w:cs="Calibri"/>
        <w:sz w:val="18"/>
        <w:szCs w:val="18"/>
      </w:rPr>
    </w:pPr>
    <w:hyperlink r:id="rId1">
      <w:r>
        <w:rPr>
          <w:rFonts w:ascii="Calibri" w:eastAsia="Calibri" w:hAnsi="Calibri" w:cs="Calibri"/>
          <w:color w:val="1155CC"/>
          <w:sz w:val="18"/>
          <w:szCs w:val="18"/>
          <w:u w:val="single"/>
        </w:rPr>
        <w:t>consejopc.sppc@jalisco.gob.mx</w:t>
      </w:r>
    </w:hyperlink>
    <w:r>
      <w:rPr>
        <w:rFonts w:ascii="Calibri" w:eastAsia="Calibri" w:hAnsi="Calibri" w:cs="Calibri"/>
        <w:sz w:val="18"/>
        <w:szCs w:val="18"/>
      </w:rPr>
      <w:t xml:space="preserve"> </w:t>
    </w:r>
  </w:p>
  <w:p w:rsidR="00F93A14" w:rsidRDefault="00F93A1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F93A1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line="240" w:lineRule="auto"/>
      </w:pPr>
      <w:r>
        <w:separator/>
      </w:r>
    </w:p>
  </w:footnote>
  <w:footnote w:type="continuationSeparator" w:id="0">
    <w:p w:rsidR="00000000" w:rsidRDefault="00460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jc w:val="right"/>
      <w:rPr>
        <w:rFonts w:ascii="Calibri" w:eastAsia="Calibri" w:hAnsi="Calibri" w:cs="Calibri"/>
        <w:b/>
        <w:sz w:val="26"/>
        <w:szCs w:val="26"/>
      </w:rPr>
    </w:pPr>
    <w:r>
      <w:rPr>
        <w:rFonts w:ascii="Calibri" w:eastAsia="Calibri" w:hAnsi="Calibri" w:cs="Calibri"/>
        <w:b/>
        <w:sz w:val="26"/>
        <w:szCs w:val="26"/>
      </w:rPr>
      <w:t>HOJA _ /_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4800600</wp:posOffset>
          </wp:positionH>
          <wp:positionV relativeFrom="paragraph">
            <wp:posOffset>-304799</wp:posOffset>
          </wp:positionV>
          <wp:extent cx="1022604" cy="57150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-190498</wp:posOffset>
          </wp:positionH>
          <wp:positionV relativeFrom="paragraph">
            <wp:posOffset>-304797</wp:posOffset>
          </wp:positionV>
          <wp:extent cx="2043113" cy="534578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jc w:val="center"/>
      <w:rPr>
        <w:rFonts w:ascii="Calibri" w:eastAsia="Calibri" w:hAnsi="Calibri" w:cs="Calibri"/>
        <w:b/>
        <w:sz w:val="26"/>
        <w:szCs w:val="26"/>
      </w:rPr>
    </w:pPr>
    <w:r>
      <w:rPr>
        <w:rFonts w:ascii="Calibri" w:eastAsia="Calibri" w:hAnsi="Calibri" w:cs="Calibri"/>
        <w:b/>
        <w:sz w:val="26"/>
        <w:szCs w:val="26"/>
      </w:rPr>
      <w:t xml:space="preserve">           </w:t>
    </w:r>
  </w:p>
  <w:p w:rsidR="00F93A14" w:rsidRDefault="00460F06">
    <w:pPr>
      <w:jc w:val="center"/>
    </w:pPr>
    <w:r>
      <w:rPr>
        <w:rFonts w:ascii="Calibri" w:eastAsia="Calibri" w:hAnsi="Calibri" w:cs="Calibri"/>
        <w:b/>
        <w:sz w:val="26"/>
        <w:szCs w:val="26"/>
      </w:rPr>
      <w:t>FORMATO OFICIAL DE SOLICITUD DE AYUNTAMIENTO ABIERTO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pStyle w:val="Ttulo1"/>
      <w:keepNext w:val="0"/>
      <w:keepLines w:val="0"/>
      <w:spacing w:before="480" w:after="160"/>
      <w:ind w:left="20" w:right="20"/>
      <w:jc w:val="center"/>
      <w:rPr>
        <w:b/>
        <w:sz w:val="24"/>
        <w:szCs w:val="24"/>
      </w:rPr>
    </w:pPr>
    <w:bookmarkStart w:id="3" w:name="_heading=h.30j0zll" w:colFirst="0" w:colLast="0"/>
    <w:bookmarkEnd w:id="3"/>
    <w:r>
      <w:rPr>
        <w:b/>
        <w:sz w:val="24"/>
        <w:szCs w:val="24"/>
      </w:rPr>
      <w:t>MARCO JURÍDICO LEGAL DEL AYUNTAMIENTO ABIERTO</w:t>
    </w:r>
    <w:r>
      <w:rPr>
        <w:noProof/>
        <w:lang w:val="es-MX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-761998</wp:posOffset>
          </wp:positionH>
          <wp:positionV relativeFrom="paragraph">
            <wp:posOffset>-323847</wp:posOffset>
          </wp:positionV>
          <wp:extent cx="2043113" cy="534578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6648450</wp:posOffset>
          </wp:positionH>
          <wp:positionV relativeFrom="paragraph">
            <wp:posOffset>-180973</wp:posOffset>
          </wp:positionV>
          <wp:extent cx="2043113" cy="534578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jc w:val="center"/>
    </w:pPr>
    <w:r>
      <w:t xml:space="preserve">Ley del Sistema de Participación Ciudadana y Popular para la Gobernanza del Estado de Jalisco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F93A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E3B00-A57A-4338-B0E9-3AD50440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y9Wogcgcd3jQ2q8gaMOn470uhg==">AMUW2mUHPR6/O9Q1Xon8vmwC8g30ia0siv2T/d026OQBvxCWPswrXUz3u569MeRZiO8+wbuMZ4TIF82qpXv/QXGfIY7P0+9541PkQAxEA2HOge+fJ4C2/Z+yZj/hvqCXlb8OvkNfxtotoWUcREqbGgsrEJP9zROEqg==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Catalina Moya Ibarra</cp:lastModifiedBy>
  <cp:revision>2</cp:revision>
  <dcterms:created xsi:type="dcterms:W3CDTF">2022-08-15T17:15:00Z</dcterms:created>
  <dcterms:modified xsi:type="dcterms:W3CDTF">2022-08-15T17:15:00Z</dcterms:modified>
</cp:coreProperties>
</file>