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spacing w:after="200"/>
        <w:jc w:val="center"/>
        <w:rPr>
          <w:rFonts w:ascii="Calibri" w:eastAsia="Calibri" w:hAnsi="Calibri" w:cs="Calibri"/>
          <w:u w:val="single"/>
        </w:rPr>
      </w:pPr>
      <w:bookmarkStart w:id="0" w:name="_heading=h.gjdgxs" w:colFirst="0" w:colLast="0"/>
      <w:bookmarkStart w:id="1" w:name="_GoBack"/>
      <w:bookmarkEnd w:id="0"/>
      <w:bookmarkEnd w:id="1"/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Consejo de Participación Ciudadana del Municipio de _____________________________.</w:t>
      </w:r>
    </w:p>
    <w:p w:rsidR="00F93A14" w:rsidRDefault="00F93A14">
      <w:pPr>
        <w:jc w:val="both"/>
        <w:rPr>
          <w:rFonts w:ascii="Calibri" w:eastAsia="Calibri" w:hAnsi="Calibri" w:cs="Calibri"/>
          <w:b/>
        </w:rPr>
      </w:pPr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PRESENTE. </w:t>
      </w:r>
    </w:p>
    <w:p w:rsidR="00F93A14" w:rsidRDefault="00F93A14">
      <w:pPr>
        <w:jc w:val="both"/>
        <w:rPr>
          <w:rFonts w:ascii="Calibri" w:eastAsia="Calibri" w:hAnsi="Calibri" w:cs="Calibri"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 bajo protesta de decir verdad</w:t>
      </w:r>
      <w:r>
        <w:rPr>
          <w:rFonts w:ascii="Calibri" w:eastAsia="Calibri" w:hAnsi="Calibri" w:cs="Calibri"/>
          <w:b/>
        </w:rPr>
        <w:t xml:space="preserve"> informo que puse a disposición de los interesados el Aviso de Privacidad Integral, así como el Aviso de Privacidad Simplificado de la Dirección de Participación Ciudadana del Instituto Electoral y de Participación Ciudadana del Estado de Jalisco y el dive</w:t>
      </w:r>
      <w:r>
        <w:rPr>
          <w:rFonts w:ascii="Calibri" w:eastAsia="Calibri" w:hAnsi="Calibri" w:cs="Calibri"/>
          <w:b/>
        </w:rPr>
        <w:t>rso correspondiente a la Secretaría de Planeación y Participación Ciudadana, por lo cual respetuosamente comparezco; y: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EXPONGO: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Que en mi carácter de representante común de los ciudadanos cuyos datos de identificación aparecen en el anexo que forma parte </w:t>
      </w:r>
      <w:r>
        <w:rPr>
          <w:rFonts w:ascii="Calibri" w:eastAsia="Calibri" w:hAnsi="Calibri" w:cs="Calibri"/>
          <w:b/>
        </w:rPr>
        <w:t xml:space="preserve">del presente escrito, </w:t>
      </w:r>
      <w:r>
        <w:rPr>
          <w:rFonts w:ascii="Calibri" w:eastAsia="Calibri" w:hAnsi="Calibri" w:cs="Calibri"/>
          <w:i/>
        </w:rPr>
        <w:t>bajo protesta de decir verdad</w:t>
      </w:r>
      <w:r>
        <w:rPr>
          <w:rFonts w:ascii="Calibri" w:eastAsia="Calibri" w:hAnsi="Calibri" w:cs="Calibri"/>
          <w:b/>
        </w:rPr>
        <w:t xml:space="preserve"> y con ejercicio de la garantía que en nuestro beneficio prevé el artículo 8, en relación con el articulo 41 base V, apartado C, párrafo 9 de la Constitución Política de los Estados Unidos Mexicanos; con f</w:t>
      </w:r>
      <w:r>
        <w:rPr>
          <w:rFonts w:ascii="Calibri" w:eastAsia="Calibri" w:hAnsi="Calibri" w:cs="Calibri"/>
          <w:b/>
        </w:rPr>
        <w:t xml:space="preserve">undamento en o dispuesto por los artículos 11 apartado A y fracción IX de la Constitución Política del Estado de Jalisco, así como los artículos 114 y 115 de la Ley del Sistema de Participación Ciudadana y Popular para la Gobernanza del Estado de Jalisco, </w:t>
      </w:r>
      <w:r>
        <w:rPr>
          <w:rFonts w:ascii="Calibri" w:eastAsia="Calibri" w:hAnsi="Calibri" w:cs="Calibri"/>
          <w:b/>
        </w:rPr>
        <w:t>comparecemos a efecto de presentar la solicitud de comparecencia pública  relativa al tema______________________________________________________________________________________________________________________________________________________________________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___________________________________________________________________________________________________________________________________________________________________________________________________________________en el cual se requiere la comparecencia del f</w:t>
      </w:r>
      <w:r>
        <w:rPr>
          <w:rFonts w:ascii="Calibri" w:eastAsia="Calibri" w:hAnsi="Calibri" w:cs="Calibri"/>
          <w:b/>
        </w:rPr>
        <w:t>uncionario( ) publico ( ) _____________________________________ adscrito a la institución_______________________________________________________ de acuerdo a la siguiente: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EXPOSICIÓN DE MOTIVOS: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Por lo anterior y de acuerdo al anexo que se acompaña al presente escrito, se acreditan los supuestos de procedibilidad a que se refiere el artículo 115 de la Ley del Sistema de Participación Ciudadana y Popular para la Gobernanza</w:t>
      </w:r>
      <w:r>
        <w:rPr>
          <w:rFonts w:ascii="Calibri" w:eastAsia="Calibri" w:hAnsi="Calibri" w:cs="Calibri"/>
          <w:b/>
        </w:rPr>
        <w:t xml:space="preserve"> del Estado de Jalisco.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Finalmente, derivado de lo estipulado en el artículo 7 de la Ley del Sistema de Participación Ciudadana y Popular para la Gobernanza del Estado de Jalisco, en relación con el artículo 450, fracción IV del Código Electoral del Estado</w:t>
      </w:r>
      <w:r>
        <w:rPr>
          <w:rFonts w:ascii="Calibri" w:eastAsia="Calibri" w:hAnsi="Calibri" w:cs="Calibri"/>
          <w:b/>
        </w:rPr>
        <w:t xml:space="preserve"> de Jalisco, se declara bajo protesta de decir verdad que la información y documentación proporcionada es legítima y veraz, por lo que respetuosamente: 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PEDIMOS: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PRIMERO. Se nos tenga en tiempo y forma presentando la solicitud de comparecencia pública resp</w:t>
      </w:r>
      <w:r>
        <w:rPr>
          <w:rFonts w:ascii="Calibri" w:eastAsia="Calibri" w:hAnsi="Calibri" w:cs="Calibri"/>
          <w:b/>
        </w:rPr>
        <w:t>ecto de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 xml:space="preserve">__________________________________misma que se encuentra establecida en el presente escrito. 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SEGUNDO. Se determine sobre la procedencia de la presente solicitud, otorgándosele el trámite que corresponda conforme a derecho.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460F06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TERCERO. Toda vez que en el pr</w:t>
      </w:r>
      <w:r>
        <w:rPr>
          <w:rFonts w:ascii="Calibri" w:eastAsia="Calibri" w:hAnsi="Calibri" w:cs="Calibri"/>
          <w:b/>
        </w:rPr>
        <w:t xml:space="preserve">esente se lleva a cabo la recabación de datos personales a través de la firma autógrafa asentada al calce se hace constar que he leído y me encuentro conforme con el aviso de privacidad disponible en: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https://planeacion.jalisco.gob.mx/politicas-de-privacidad</w:t>
        </w:r>
      </w:hyperlink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ATENTAMENTE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_____________________________, Jalisco, a_________ de_________ del año_______________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  <w:b/>
        </w:rPr>
        <w:sectPr w:rsidR="00F93A1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</w:rPr>
        <w:t>Firma autógrafa.</w:t>
      </w:r>
    </w:p>
    <w:p w:rsidR="00F93A14" w:rsidRDefault="00460F06">
      <w:pPr>
        <w:spacing w:after="200"/>
        <w:rPr>
          <w:rFonts w:ascii="Calibri" w:eastAsia="Calibri" w:hAnsi="Calibri" w:cs="Calibri"/>
        </w:rPr>
      </w:pPr>
      <w:r>
        <w:rPr>
          <w:noProof/>
          <w:lang w:val="es-MX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-819148</wp:posOffset>
            </wp:positionH>
            <wp:positionV relativeFrom="paragraph">
              <wp:posOffset>275487</wp:posOffset>
            </wp:positionV>
            <wp:extent cx="10657797" cy="5438429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l="13023" t="20879" r="13023" b="16468"/>
                    <a:stretch>
                      <a:fillRect/>
                    </a:stretch>
                  </pic:blipFill>
                  <pic:spPr>
                    <a:xfrm>
                      <a:off x="0" y="0"/>
                      <a:ext cx="10657797" cy="5438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  <w:sectPr w:rsidR="00F93A14">
          <w:headerReference w:type="default" r:id="rId13"/>
          <w:pgSz w:w="16834" w:h="11909" w:orient="landscape"/>
          <w:pgMar w:top="1440" w:right="1440" w:bottom="1440" w:left="1440" w:header="708" w:footer="708" w:gutter="0"/>
          <w:cols w:space="720"/>
        </w:sectPr>
      </w:pPr>
    </w:p>
    <w:p w:rsidR="00F93A14" w:rsidRDefault="00460F06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Capítulo XI</w:t>
      </w:r>
    </w:p>
    <w:p w:rsidR="00F93A14" w:rsidRDefault="00460F06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Comparecencia Pública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Artículo 111.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La comparecencia pública es el mecanismo de participación y democracia deliberativa mediante el cual los habitantes del Estado o un Municipio dialogan y debaten con los funcionarios públicos del Estado o los municipios para solicitarles la rendición de </w:t>
      </w:r>
      <w:r>
        <w:rPr>
          <w:sz w:val="20"/>
          <w:szCs w:val="20"/>
        </w:rPr>
        <w:t>cuentas, pedir información, proponer acciones, cuestionar y solicitar la realización de determinados actos o la adopción de acuerdos.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Artículo 112.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Durante la comparecencia pública los habitantes podrán: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I. Solicitar y recibir información respecto a la</w:t>
      </w:r>
      <w:r>
        <w:rPr>
          <w:sz w:val="20"/>
          <w:szCs w:val="20"/>
        </w:rPr>
        <w:t xml:space="preserve"> actuación del Gobierno;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II. Solicitar la rendición de cuentas sobre determinados actos de gobierno;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III. Proponer a las personas titulares de las dependencias la adopción de medidas o la realización de determinados actos;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IV. Informar a las y los funci</w:t>
      </w:r>
      <w:r>
        <w:rPr>
          <w:sz w:val="20"/>
          <w:szCs w:val="20"/>
        </w:rPr>
        <w:t>onarios públicos de sucesos relevantes que sean de su competencia o sean de interés social;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V. Analizar el cumplimiento de los programas, planes y políticas públicas; y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VI. Evaluar el desempeño de la administración pública.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Artículo 113.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Pueden ser c</w:t>
      </w:r>
      <w:r>
        <w:rPr>
          <w:sz w:val="20"/>
          <w:szCs w:val="20"/>
        </w:rPr>
        <w:t>itadas a comparecencias públicas las siguientes personas servidoras públicas: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I. La persona titular del Poder Ejecutivo;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II. Las personas titulares de las Secretarías, de la Fiscalía General y de los organismos públicos descentralizados del Gobierno del </w:t>
      </w:r>
      <w:r>
        <w:rPr>
          <w:sz w:val="20"/>
          <w:szCs w:val="20"/>
        </w:rPr>
        <w:t xml:space="preserve"> Estado;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III. Las y los Diputados del Congreso del  Estado;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IV. Las y los Magistrados del Poder Judicial;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V. Las y los Presidentes Municipales, Síndicos y Regidores de los Ayuntamientos; y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VI. Las personas integrantes de los organismos constitucionales autónomos.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Artículo 114.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Pueden solicitar la comparecencia pública al menos el 0.1 por ciento de los habitantes de la demarcación territorial donde tenga competencia la autoridad de la que</w:t>
      </w:r>
      <w:r>
        <w:rPr>
          <w:sz w:val="20"/>
          <w:szCs w:val="20"/>
        </w:rPr>
        <w:t xml:space="preserve"> se solicite la comparecencia, de acuerdo al último censo realizado por el Instituto Nacional de Estadística y Geografía.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Artículo 115.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La solicitud debe contener por lo menos los siguientes datos: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I. Nombre de la persona representante común de los pr</w:t>
      </w:r>
      <w:r>
        <w:rPr>
          <w:sz w:val="20"/>
          <w:szCs w:val="20"/>
        </w:rPr>
        <w:t>omoventes;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II. Manifestación de conducirse bajo protesta de decir verdad;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III. Domicilio para recibir notificaciones en el área metropolitana de Guadalajara cuando la iniciativa se dirija al Gobernador o al Congreso o en la cabecera municipal cuando se dir</w:t>
      </w:r>
      <w:r>
        <w:rPr>
          <w:sz w:val="20"/>
          <w:szCs w:val="20"/>
        </w:rPr>
        <w:t>ija a un Ayuntamiento;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IV. Nombre y cargo del funcionario que se pretende citar a comparecer;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V. El tema a tratar; y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VI. Nombre completo y firma de las y los habitantes solicitantes.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Ningún servidor público puede fungir como representante común.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Ar</w:t>
      </w:r>
      <w:r>
        <w:rPr>
          <w:sz w:val="20"/>
          <w:szCs w:val="20"/>
        </w:rPr>
        <w:t>tículo 116.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La organización y desarrollo de las comparecencias públicas se entienden delegadas al Consejo y a los Consejos Municipales.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La solicitud de comparecencia de servidores públicos del ámbito estatal se presenta ante la Secretaría Ejecutiva,</w:t>
      </w:r>
      <w:r>
        <w:rPr>
          <w:sz w:val="20"/>
          <w:szCs w:val="20"/>
        </w:rPr>
        <w:t xml:space="preserve"> se le asigna número consecutivo de registro que debe indicar el orden de presentación y fecha de inscripción.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La solicitud de comparecencia de servidores públicos del ámbito municipal se presenta ante el Consejo Municipal correspondiente, se le asigna</w:t>
      </w:r>
      <w:r>
        <w:rPr>
          <w:sz w:val="20"/>
          <w:szCs w:val="20"/>
        </w:rPr>
        <w:t xml:space="preserve"> número consecutivo de registro que debe indicar el orden de presentación y fecha de inscripción.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4. Los consejos municipales remiten dentro de los siguientes cinco días hábiles a su recepción, copia de todas las solicitudes recibidas a la Secretaría Ejec</w:t>
      </w:r>
      <w:r>
        <w:rPr>
          <w:sz w:val="20"/>
          <w:szCs w:val="20"/>
        </w:rPr>
        <w:t>utiva para su conocimiento y registro.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 A falta de alguno de los requisitos, la Secretaría Ejecutiva o el Consejo municipal, según corresponda, requiere a los promoventes para que lo subsane dentro de los cinco días hábiles siguientes al de la notificac</w:t>
      </w:r>
      <w:r>
        <w:rPr>
          <w:sz w:val="20"/>
          <w:szCs w:val="20"/>
        </w:rPr>
        <w:t>ión, con el apercibimiento que de no hacerlo se desechará la solicitud.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6. Una vez satisfechos los requisitos de procedencia, el Consejo o los Consejos Municipales, según corresponda, emitirán un dictamen de procedencia, dentro de los diez días hábiles si</w:t>
      </w:r>
      <w:r>
        <w:rPr>
          <w:sz w:val="20"/>
          <w:szCs w:val="20"/>
        </w:rPr>
        <w:t>guientes.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7. De resultar procedente la solicitud de comparecencia pública, el Consejo o los Consejos Municipales, según corresponda, notifica personalmente a los servidores públicos citados cuando menos con tres días hábiles de anticipación a la comparece</w:t>
      </w:r>
      <w:r>
        <w:rPr>
          <w:sz w:val="20"/>
          <w:szCs w:val="20"/>
        </w:rPr>
        <w:t>ncia pública y emite la convocatoria correspondiente.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La convocatoria que emite el Consejo o los Consejos Municipales, según corresponda, debe contener por lo menos lo siguiente: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I. Nombre y cargo de las y los funcionarios convocados;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II. Lugar, día y hora para la realización de la comparecencia;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III. El formato bajo el que se desarrollará la comparecencia; y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IV. Tema a tratar.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9. Los servidores públicos citados tienen la obligación de acudir el día, hora y lugar señalados en la convo</w:t>
      </w:r>
      <w:r>
        <w:rPr>
          <w:sz w:val="20"/>
          <w:szCs w:val="20"/>
        </w:rPr>
        <w:t>catoria.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Artículo 117.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La comparecencia pública se lleva a cabo de forma presencial, en un solo acto y pueden asistir: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I. La o las personas funcionarias en cuestión;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II. Las y los solicitantes;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III. Cualquier persona habitante del Estado de Jalisco interesada; y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IV. Dos personas representantes del Consejo, quienes fungirán, una como moderadora durante la comparecencia, y otra como secretaria para levantar el acta de acuerdos correspondiente.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>. Las comparecencias públicas deben transmitirse en los canales oficiales de la Secretaría y el Instituto.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 Para el desahogo de la comparecencia pública, se podrán registrar como máximo 10 personas como representantes ciudadanos, quienes participarán c</w:t>
      </w:r>
      <w:r>
        <w:rPr>
          <w:sz w:val="20"/>
          <w:szCs w:val="20"/>
        </w:rPr>
        <w:t>omo voceros para establecer la postura de la ciudadanía.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Artículo 118.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El acta de acuerdos correspondiente a las comparecencias públicas, debe contener por lo menos lo siguiente: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I. Nombres de los servidores públicos y habitantes que participaron;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</w:t>
      </w:r>
      <w:r>
        <w:rPr>
          <w:sz w:val="20"/>
          <w:szCs w:val="20"/>
        </w:rPr>
        <w:t>. Puntos tratados;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III. Acuerdos tomados;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IV. Dependencias que deben dar seguimiento a los acuerdos; y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V. Señalamiento de los servidores públicos responsables de la ejecución de las acciones aprobadas.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El acta de acuerdos se levanta en original y tr</w:t>
      </w:r>
      <w:r>
        <w:rPr>
          <w:sz w:val="20"/>
          <w:szCs w:val="20"/>
        </w:rPr>
        <w:t>es copias; se entrega una copia a la autoridad compareciente, otra al representante común de los promoventes y se remite otra más a la Secretaría Ejecutiva.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El Consejo o Consejo Municipal, según corresponda, deberá anexar el acta de acuerdos original e</w:t>
      </w:r>
      <w:r>
        <w:rPr>
          <w:sz w:val="20"/>
          <w:szCs w:val="20"/>
        </w:rPr>
        <w:t>n el expediente de la solicitud.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Artículo 119.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El acta de acuerdos correspondiente a las comparecencias públicas de ámbito estatal se publican en el Periódico Oficial “El  Estado de Jalisco” a más tardar cinco días después de que concluya.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El acta</w:t>
      </w:r>
      <w:r>
        <w:rPr>
          <w:sz w:val="20"/>
          <w:szCs w:val="20"/>
        </w:rPr>
        <w:t xml:space="preserve"> de acuerdos correspondiente a las comparecencias públicas de ámbito municipal, se publican en la Gaceta Municipal o en el medio de comunicación oficial con el que cuente a más tardar cinco días después de que concluya.</w:t>
      </w:r>
    </w:p>
    <w:p w:rsidR="00F93A14" w:rsidRDefault="00460F06">
      <w:pPr>
        <w:spacing w:before="240"/>
        <w:jc w:val="both"/>
      </w:pPr>
      <w:r>
        <w:rPr>
          <w:sz w:val="20"/>
          <w:szCs w:val="20"/>
        </w:rPr>
        <w:t xml:space="preserve"> </w:t>
      </w:r>
    </w:p>
    <w:sectPr w:rsidR="00F93A14">
      <w:pgSz w:w="11909" w:h="16834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line="240" w:lineRule="auto"/>
      </w:pPr>
      <w:r>
        <w:separator/>
      </w:r>
    </w:p>
  </w:endnote>
  <w:endnote w:type="continuationSeparator" w:id="0">
    <w:p w:rsidR="00000000" w:rsidRDefault="00460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Consejo de Participación Ciudadana y Popular para la Gobernanza en Jalisco</w:t>
    </w:r>
  </w:p>
  <w:p w:rsidR="00F93A14" w:rsidRDefault="00460F06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Calle Magisterio 1499, Col. Miraflores, Guadalajara, Jal. C.P. 44270</w:t>
    </w:r>
  </w:p>
  <w:p w:rsidR="00F93A14" w:rsidRDefault="00460F06"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consejopc.sppc@jalisco.gob.mx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F93A1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line="240" w:lineRule="auto"/>
      </w:pPr>
      <w:r>
        <w:separator/>
      </w:r>
    </w:p>
  </w:footnote>
  <w:footnote w:type="continuationSeparator" w:id="0">
    <w:p w:rsidR="00000000" w:rsidRDefault="00460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jc w:val="center"/>
      <w:rPr>
        <w:rFonts w:ascii="Calibri" w:eastAsia="Calibri" w:hAnsi="Calibri" w:cs="Calibri"/>
        <w:b/>
        <w:sz w:val="26"/>
        <w:szCs w:val="26"/>
      </w:rPr>
    </w:pPr>
    <w:r>
      <w:rPr>
        <w:rFonts w:ascii="Calibri" w:eastAsia="Calibri" w:hAnsi="Calibri" w:cs="Calibri"/>
        <w:b/>
        <w:sz w:val="26"/>
        <w:szCs w:val="26"/>
      </w:rPr>
      <w:t xml:space="preserve">                                                                                                          HOJA _ /_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4772025</wp:posOffset>
          </wp:positionH>
          <wp:positionV relativeFrom="paragraph">
            <wp:posOffset>-266699</wp:posOffset>
          </wp:positionV>
          <wp:extent cx="1022604" cy="571500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8496300</wp:posOffset>
          </wp:positionH>
          <wp:positionV relativeFrom="paragraph">
            <wp:posOffset>-247648</wp:posOffset>
          </wp:positionV>
          <wp:extent cx="2043113" cy="534578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-485773</wp:posOffset>
          </wp:positionH>
          <wp:positionV relativeFrom="paragraph">
            <wp:posOffset>-247648</wp:posOffset>
          </wp:positionV>
          <wp:extent cx="2043113" cy="534578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F93A14">
    <w:pPr>
      <w:jc w:val="center"/>
      <w:rPr>
        <w:rFonts w:ascii="Calibri" w:eastAsia="Calibri" w:hAnsi="Calibri" w:cs="Calibri"/>
        <w:b/>
        <w:sz w:val="26"/>
        <w:szCs w:val="26"/>
      </w:rPr>
    </w:pPr>
  </w:p>
  <w:p w:rsidR="00F93A14" w:rsidRDefault="00460F06">
    <w:pPr>
      <w:jc w:val="center"/>
    </w:pPr>
    <w:r>
      <w:rPr>
        <w:rFonts w:ascii="Calibri" w:eastAsia="Calibri" w:hAnsi="Calibri" w:cs="Calibri"/>
        <w:b/>
        <w:sz w:val="26"/>
        <w:szCs w:val="26"/>
      </w:rPr>
      <w:t>FORMATO OFICIAL DE SOLICITUD DE COMPARECENCIA PÚBLICA MUNICIPAL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pStyle w:val="Ttulo1"/>
      <w:keepNext w:val="0"/>
      <w:keepLines w:val="0"/>
      <w:spacing w:before="480" w:after="160"/>
      <w:ind w:left="20" w:right="20"/>
      <w:jc w:val="center"/>
      <w:rPr>
        <w:b/>
        <w:sz w:val="24"/>
        <w:szCs w:val="24"/>
      </w:rPr>
    </w:pPr>
    <w:bookmarkStart w:id="2" w:name="_heading=h.30j0zll" w:colFirst="0" w:colLast="0"/>
    <w:bookmarkEnd w:id="2"/>
    <w:r>
      <w:rPr>
        <w:noProof/>
        <w:lang w:val="es-MX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-457198</wp:posOffset>
          </wp:positionH>
          <wp:positionV relativeFrom="paragraph">
            <wp:posOffset>190500</wp:posOffset>
          </wp:positionV>
          <wp:extent cx="2043113" cy="534578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pStyle w:val="Ttulo1"/>
      <w:keepNext w:val="0"/>
      <w:keepLines w:val="0"/>
      <w:spacing w:before="480" w:after="160"/>
      <w:ind w:left="20" w:right="20"/>
      <w:jc w:val="center"/>
      <w:rPr>
        <w:b/>
        <w:sz w:val="24"/>
        <w:szCs w:val="24"/>
      </w:rPr>
    </w:pPr>
    <w:bookmarkStart w:id="3" w:name="_heading=h.1fob9te" w:colFirst="0" w:colLast="0"/>
    <w:bookmarkEnd w:id="3"/>
    <w:r>
      <w:rPr>
        <w:b/>
        <w:sz w:val="24"/>
        <w:szCs w:val="24"/>
      </w:rPr>
      <w:t>MARCO JURÍDICO LEGAL DE LA COMPARECENCIA PÚBLICA</w:t>
    </w:r>
  </w:p>
  <w:p w:rsidR="00F93A14" w:rsidRDefault="00460F06">
    <w:pPr>
      <w:jc w:val="center"/>
    </w:pPr>
    <w:r>
      <w:t xml:space="preserve">Ley del Sistema de Participación Ciudadana y Popular para la Gobernanza del Estado de Jalisco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jc w:val="center"/>
    </w:pPr>
    <w:r>
      <w:rPr>
        <w:noProof/>
        <w:lang w:val="es-MX"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6815325</wp:posOffset>
          </wp:positionH>
          <wp:positionV relativeFrom="paragraph">
            <wp:posOffset>-68998</wp:posOffset>
          </wp:positionV>
          <wp:extent cx="2043113" cy="534578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8DB29-6B35-49C0-BF13-611FE4CA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9+fgVL4tRdnxr/A7iL+nviGlg==">AMUW2mWk0y8wEifyHwQpZxxls94eOTXuBZ/RIn0Y1LqaJL3xws8cgUgu0482a7sVyzKEgxfbQnaHEVrXpYYHExN1jZEKF62TXqs0577Mt5JEQuzofu0ErjKujEeDsNbWB+HVCsy+K2BiToewpnbrXsAGyct+0V1p8g==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Catalina Moya Ibarra</cp:lastModifiedBy>
  <cp:revision>2</cp:revision>
  <dcterms:created xsi:type="dcterms:W3CDTF">2022-08-15T17:20:00Z</dcterms:created>
  <dcterms:modified xsi:type="dcterms:W3CDTF">2022-08-15T17:20:00Z</dcterms:modified>
</cp:coreProperties>
</file>