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ind w:left="0" w:hanging="2"/>
        <w:rPr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:rsidR="00F93A14" w:rsidRDefault="00460F06">
      <w:pPr>
        <w:spacing w:after="0"/>
        <w:ind w:left="0" w:hanging="2"/>
        <w:jc w:val="both"/>
      </w:pPr>
      <w:r>
        <w:rPr>
          <w:b/>
        </w:rPr>
        <w:t>SECRETARÍA EJECUTIVA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CONSEJO DE PARTICIPACIÓN CIUDADANA 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Y POPULAR PARA LA GOBERNANZA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 bajo protesta de decir verdad</w:t>
      </w:r>
      <w:r>
        <w:rPr>
          <w:b/>
        </w:rPr>
        <w:t xml:space="preserve"> informo que puse a disposición de los interesados el Aviso de Privacidad Integral, así como el Aviso de Privacidad Simplificado de la Dirección de Participación Ciudadana del Instituto Electoral y de Participación Ciudadana del Estado de Jalisco y el dive</w:t>
      </w:r>
      <w:r>
        <w:rPr>
          <w:b/>
        </w:rPr>
        <w:t>rso correspondiente a la Secretaría de Planeación y Participación Ciudadana, por lo cual respetuosamente comparezco y: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>Que en mi carácter de representante común de los ciudadanos y/o organización social cuyos datos de identificación aparecen en el</w:t>
      </w:r>
      <w:r>
        <w:rPr>
          <w:b/>
        </w:rPr>
        <w:t xml:space="preserve"> 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artículo 8, en relación con el articulo 41 base V, apartado C, párrafo 9 de la Constitución Política de los Estados </w:t>
      </w:r>
      <w:r>
        <w:rPr>
          <w:b/>
        </w:rPr>
        <w:t>Unidos Mexicanos; con fundamento en o dispuesto por los artículos 11 apartado A y fracción XVI de la Constitución Política del Estado de Jalisco, así como los artículos 146 Y 147 de la Ley del Sistema de Participación Ciudadana y Popular para la Gobernanza</w:t>
      </w:r>
      <w:r>
        <w:rPr>
          <w:b/>
        </w:rPr>
        <w:t xml:space="preserve"> del Estado de Jalisco, comparecemos a efecto de presentar la solicitud de contraloría social dentro relativa a la obra, programa y/o autoridad que se establece a continuación 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_________________________________________dentro de la dependencia pública denominada ___________________________________, de acuerdo a la siguiente: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3A14" w:rsidRDefault="00460F06">
      <w:pPr>
        <w:ind w:left="0" w:hanging="2"/>
        <w:jc w:val="both"/>
      </w:pPr>
      <w:r>
        <w:rPr>
          <w:b/>
        </w:rPr>
        <w:t xml:space="preserve">Asimismo, se propone para la constitución de dicha </w:t>
      </w:r>
      <w:r>
        <w:rPr>
          <w:b/>
        </w:rPr>
        <w:t>contraloría social a las personas que se señalan a continuación:________________________________________________________________________________________________________________________________________________________________________________________________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Por lo anterior y de acuerdo al anexo que se acompaña al presente escrito, se acreditan los supuestos de procedibilidad a que se refiere el artículo 146 y 147 de la Ley del Sistema de Participación Ciudadana y Popular p</w:t>
      </w:r>
      <w:r>
        <w:rPr>
          <w:b/>
        </w:rPr>
        <w:t>ara la Gobernanza del Estado de Jalisco.</w:t>
      </w:r>
    </w:p>
    <w:p w:rsidR="00F93A14" w:rsidRDefault="00460F06">
      <w:pPr>
        <w:ind w:left="0" w:hanging="2"/>
        <w:jc w:val="both"/>
      </w:pPr>
      <w:r>
        <w:rPr>
          <w:b/>
        </w:rPr>
        <w:t>Finalmente, derivado de lo estipulado en el artículo 7 de la Ley del Sistema de Participación Ciudadana y Popular para la Gobernanza del Estado de Jalisco, en relación con el artículo 450, fracción IV del Código Ele</w:t>
      </w:r>
      <w:r>
        <w:rPr>
          <w:b/>
        </w:rPr>
        <w:t>ctoral del Estado de Jalisco, se declara bajo protesta de decir verdad que la información y documentación proporcionada es legítima y veraz, por lo que respetuosamente:</w:t>
      </w: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la solicitud de contralorí</w:t>
      </w:r>
      <w:r>
        <w:rPr>
          <w:b/>
        </w:rPr>
        <w:t>a social respecto de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_______________________________________________misma que se encuentra establecida en el presente escrito. 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determine sobre la procedencia de la presente solicitud, otorgándosele el trámite que corresponda conforme a derecho.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lastRenderedPageBreak/>
        <w:t>TERCERO. Toda vez q</w:t>
      </w:r>
      <w:r>
        <w:rPr>
          <w:b/>
        </w:rPr>
        <w:t xml:space="preserve">ue en el presente se lleva a cabo la recabación de datos personales a través de la firma autógrafa asentada al calce se hace constar que he leído y me encuentro conforme con el aviso de privacidad disponible en: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  <w:r>
        <w:rPr>
          <w:b/>
        </w:rPr>
        <w:t xml:space="preserve"> y  </w:t>
      </w:r>
      <w:hyperlink r:id="rId8">
        <w:r>
          <w:rPr>
            <w:b/>
            <w:color w:val="1155CC"/>
            <w:u w:val="single"/>
          </w:rPr>
          <w:t>https://iepc.cc/aviso-MPC</w:t>
        </w:r>
      </w:hyperlink>
      <w:r>
        <w:rPr>
          <w:b/>
        </w:rPr>
        <w:t xml:space="preserve"> </w:t>
      </w:r>
    </w:p>
    <w:p w:rsidR="00F93A14" w:rsidRDefault="00F93A14">
      <w:pPr>
        <w:ind w:left="0" w:hanging="2"/>
        <w:jc w:val="both"/>
      </w:pPr>
    </w:p>
    <w:p w:rsidR="00F93A14" w:rsidRDefault="00F93A14">
      <w:pPr>
        <w:ind w:left="0" w:hanging="2"/>
        <w:jc w:val="center"/>
        <w:rPr>
          <w:b/>
        </w:rPr>
      </w:pP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_____________________________,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autógrafa.</w:t>
      </w: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F93A14">
      <w:pPr>
        <w:ind w:left="0" w:hanging="2"/>
        <w:sectPr w:rsidR="00F93A14">
          <w:headerReference w:type="default" r:id="rId9"/>
          <w:footerReference w:type="default" r:id="rId10"/>
          <w:headerReference w:type="first" r:id="rId11"/>
          <w:footerReference w:type="first" r:id="rId12"/>
          <w:pgSz w:w="12240" w:h="18720"/>
          <w:pgMar w:top="1417" w:right="1701" w:bottom="1417" w:left="1701" w:header="708" w:footer="708" w:gutter="0"/>
          <w:pgNumType w:start="1"/>
          <w:cols w:space="720"/>
        </w:sectPr>
      </w:pPr>
    </w:p>
    <w:p w:rsidR="00F93A14" w:rsidRDefault="00F93A14">
      <w:pPr>
        <w:spacing w:before="240" w:after="0"/>
        <w:ind w:left="0" w:hanging="2"/>
        <w:rPr>
          <w:rFonts w:ascii="Arial" w:eastAsia="Arial" w:hAnsi="Arial" w:cs="Arial"/>
          <w:b/>
          <w:sz w:val="20"/>
          <w:szCs w:val="20"/>
        </w:rPr>
        <w:sectPr w:rsidR="00F93A14">
          <w:headerReference w:type="default" r:id="rId13"/>
          <w:pgSz w:w="18720" w:h="12240" w:orient="landscape"/>
          <w:pgMar w:top="1417" w:right="1701" w:bottom="1417" w:left="1701" w:header="708" w:footer="708" w:gutter="0"/>
          <w:cols w:space="720"/>
          <w:titlePg/>
        </w:sectPr>
      </w:pPr>
    </w:p>
    <w:p w:rsidR="00F93A14" w:rsidRDefault="00460F06">
      <w:pPr>
        <w:spacing w:before="240" w:after="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XVIII</w:t>
      </w:r>
    </w:p>
    <w:p w:rsidR="00F93A14" w:rsidRDefault="00460F06">
      <w:pPr>
        <w:spacing w:before="240" w:after="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Contraloría Social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144.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La Contraloría Social es el mecanismo de participación mediante el cual la ciudadanía y los organismos del sector social privado forman una instancia de vigilancia y observación de las actividades de gobierno.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145.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Los Poderes del Estado, ór</w:t>
      </w:r>
      <w:r>
        <w:rPr>
          <w:rFonts w:ascii="Arial" w:eastAsia="Arial" w:hAnsi="Arial" w:cs="Arial"/>
          <w:sz w:val="20"/>
          <w:szCs w:val="20"/>
        </w:rPr>
        <w:t>ganos constitucionales autónomos y municipios tienen la obligación de establecer dentro de su normatividad interna aplicable la figura de la Contraloría Social.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La contraloría social observa y verifica que se cumpla con las metas establecidas y que los </w:t>
      </w:r>
      <w:r>
        <w:rPr>
          <w:rFonts w:ascii="Arial" w:eastAsia="Arial" w:hAnsi="Arial" w:cs="Arial"/>
          <w:sz w:val="20"/>
          <w:szCs w:val="20"/>
        </w:rPr>
        <w:t>recursos públicos se apliquen correctamente; promueve una rendición de cuentas transversal con la finalidad de incidir en las decisiones públicas y el manejo eficiente de los recursos.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En los casos donde se tenga previsto el mecanismo de contraloría soc</w:t>
      </w:r>
      <w:r>
        <w:rPr>
          <w:rFonts w:ascii="Arial" w:eastAsia="Arial" w:hAnsi="Arial" w:cs="Arial"/>
          <w:sz w:val="20"/>
          <w:szCs w:val="20"/>
        </w:rPr>
        <w:t>ial dentro de la normatividad aplicable a los Poderes del Estado, Secretarías de Gobierno, órganos constitucionales autónomos y municipios, se estará a lo que disponen dichas regulaciones; en los casos en que no se tenga previsto, se estará a lo establecid</w:t>
      </w:r>
      <w:r>
        <w:rPr>
          <w:rFonts w:ascii="Arial" w:eastAsia="Arial" w:hAnsi="Arial" w:cs="Arial"/>
          <w:sz w:val="20"/>
          <w:szCs w:val="20"/>
        </w:rPr>
        <w:t>o en esta ley.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146.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La Contraloría Social tiene las atribuciones siguientes: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Solicitar la información a las autoridades estatales y municipales que considere necesaria para el desempeño de sus funciones;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Vigilar el ejercicio de los recursos públicos y que las acciones gubernamentales se realicen conforme a la normativa aplicable;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Emitir informes sobre el desempeño de los programas y ejecución de los recursos públicos;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Presentar ante la autor</w:t>
      </w:r>
      <w:r>
        <w:rPr>
          <w:rFonts w:ascii="Arial" w:eastAsia="Arial" w:hAnsi="Arial" w:cs="Arial"/>
          <w:sz w:val="20"/>
          <w:szCs w:val="20"/>
        </w:rPr>
        <w:t>idad competente las quejas y denuncias sobre posibles responsabilidades políticas, administrativas, civiles o penales, derivado de sus actividades de vigilancia; y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V. Las demás que establezcan los reglamentos estatales o municipales correspondientes.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Só</w:t>
      </w:r>
      <w:r>
        <w:rPr>
          <w:rFonts w:ascii="Arial" w:eastAsia="Arial" w:hAnsi="Arial" w:cs="Arial"/>
          <w:sz w:val="20"/>
          <w:szCs w:val="20"/>
        </w:rPr>
        <w:t>lo se podrá constituir una contraloría social por cada política, programa, obra o asunto de interés social.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147.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1. Pueden solicitar que se constituya una contraloría social: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I. Al menos el 0.05 por ciento de los ciudadanos inscritos en la lista n</w:t>
      </w:r>
      <w:r>
        <w:rPr>
          <w:rFonts w:ascii="Arial" w:eastAsia="Arial" w:hAnsi="Arial" w:cs="Arial"/>
          <w:sz w:val="20"/>
          <w:szCs w:val="20"/>
        </w:rPr>
        <w:t>ominal de electores de la demarcación territorial donde tenga competencia la obra, programa o autoridad, que se desee observar;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Los colegios o asociaciones de profesionistas debidamente registradas en el Estado;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Las asociaciones civiles debidament</w:t>
      </w:r>
      <w:r>
        <w:rPr>
          <w:rFonts w:ascii="Arial" w:eastAsia="Arial" w:hAnsi="Arial" w:cs="Arial"/>
          <w:sz w:val="20"/>
          <w:szCs w:val="20"/>
        </w:rPr>
        <w:t>e constituidas;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Las asociaciones vecinales debidamente registradas en los municipios; y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V. Otras formas de organización social.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La solicitud debe contener por lo menos los siguientes datos: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Nombre de la persona representante común de los promoven</w:t>
      </w:r>
      <w:r>
        <w:rPr>
          <w:rFonts w:ascii="Arial" w:eastAsia="Arial" w:hAnsi="Arial" w:cs="Arial"/>
          <w:sz w:val="20"/>
          <w:szCs w:val="20"/>
        </w:rPr>
        <w:t>tes, tratándose de colegios, asociaciones y cualquier forma de organización, se deberá acreditar la personalidad que ostenta;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Manifestación de conducirse bajo protesta de decir verdad;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Domicilio para recibir notificaciones, en el área metropolitan</w:t>
      </w:r>
      <w:r>
        <w:rPr>
          <w:rFonts w:ascii="Arial" w:eastAsia="Arial" w:hAnsi="Arial" w:cs="Arial"/>
          <w:sz w:val="20"/>
          <w:szCs w:val="20"/>
        </w:rPr>
        <w:t>a de Guadalajara si es del ámbito estatal, o en la cabecera municipal, si es de ámbito municipal;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La dependencia en la que se pretende constituir la contraloría;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V. Exposición de motivos por los cuales se desea constituir la contraloría;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VI. Nombre de las personas propuestas para constituir la contraloría; y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VII. Los siguientes datos en orden de columnas: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Nombre completo de las y los ciudadanos solicitantes;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Número de folio de la credencial para votar de las personas solicitantes;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Clave de elector de las personas solicitantes;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Sección electoral a la que pertenecen las personas solicitantes; y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Firma de cada elector solicitante, que concuerde con la que aparece en la credencial para votar.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148.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La organización de la</w:t>
      </w:r>
      <w:r>
        <w:rPr>
          <w:rFonts w:ascii="Arial" w:eastAsia="Arial" w:hAnsi="Arial" w:cs="Arial"/>
          <w:sz w:val="20"/>
          <w:szCs w:val="20"/>
        </w:rPr>
        <w:t>s contralorías sociales se entiende delegada al Consejo y a los Consejos Municipales.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2. La solicitud de contraloría social de ámbito estatal se presenta ante la Secretaría Ejecutiva, se le asigna número consecutivo de registro que debe indicar el orden de</w:t>
      </w:r>
      <w:r>
        <w:rPr>
          <w:rFonts w:ascii="Arial" w:eastAsia="Arial" w:hAnsi="Arial" w:cs="Arial"/>
          <w:sz w:val="20"/>
          <w:szCs w:val="20"/>
        </w:rPr>
        <w:t xml:space="preserve"> presentación y fecha de inscripción.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La solicitud de contraloría social de ámbito municipal se presenta ante el Consejo Municipal correspondiente, se le asigna número consecutivo de registro que debe indicar el orden de presentación y fecha de inscripc</w:t>
      </w:r>
      <w:r>
        <w:rPr>
          <w:rFonts w:ascii="Arial" w:eastAsia="Arial" w:hAnsi="Arial" w:cs="Arial"/>
          <w:sz w:val="20"/>
          <w:szCs w:val="20"/>
        </w:rPr>
        <w:t>ión.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Los consejos municipales remiten dentro de los siguientes cinco días hábiles a su recepción, copia de todas las solicitudes recibidas a la Secretaría Ejecutiva para su conocimiento y registro.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A falta de alguno de los requisitos, la Secretaría Ejecutiva o el Consejo municipal, según corresponda, requiere a los promoventes para que lo subsane dentro de los cinco días hábiles siguientes al de la notificación, con el apercibimiento que de no hac</w:t>
      </w:r>
      <w:r>
        <w:rPr>
          <w:rFonts w:ascii="Arial" w:eastAsia="Arial" w:hAnsi="Arial" w:cs="Arial"/>
          <w:sz w:val="20"/>
          <w:szCs w:val="20"/>
        </w:rPr>
        <w:t>erlo se desechará la solicitud.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Una vez satisfechos los requisitos de procedencia, el Consejo o los Consejos Municipales, según corresponda, solicitan el apoyo del Instituto para validar los datos de los ciudadanos promoventes.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Una vez validados lo</w:t>
      </w:r>
      <w:r>
        <w:rPr>
          <w:rFonts w:ascii="Arial" w:eastAsia="Arial" w:hAnsi="Arial" w:cs="Arial"/>
          <w:sz w:val="20"/>
          <w:szCs w:val="20"/>
        </w:rPr>
        <w:t>s datos de los ciudadanos promoventes, el Consejo o los Consejos Municipales, según corresponda, emiten el dictamen de procedencia correspondiente.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De resultar procedente la solicitud para constituir la contraloría social, el Consejo o el Consejo Munici</w:t>
      </w:r>
      <w:r>
        <w:rPr>
          <w:rFonts w:ascii="Arial" w:eastAsia="Arial" w:hAnsi="Arial" w:cs="Arial"/>
          <w:sz w:val="20"/>
          <w:szCs w:val="20"/>
        </w:rPr>
        <w:t>pal, según corresponda, remite el dictamen de procedencia y copia completa del expediente  a la dependencia correspondiente, dentro de los siguientes tres días hábiles.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Artículo 149.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El dictamen de procedencia deberá contener por lo menos: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Dependenc</w:t>
      </w:r>
      <w:r>
        <w:rPr>
          <w:rFonts w:ascii="Arial" w:eastAsia="Arial" w:hAnsi="Arial" w:cs="Arial"/>
          <w:sz w:val="20"/>
          <w:szCs w:val="20"/>
        </w:rPr>
        <w:t>ia en la que se constituirá la contraloría social;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Extracto de la exposición de motivos por los que se solicitó constituir la contraloría;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Las consideraciones por las que se declara procedente la solicitud; y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Nombres de las personas propuestas</w:t>
      </w:r>
      <w:r>
        <w:rPr>
          <w:rFonts w:ascii="Arial" w:eastAsia="Arial" w:hAnsi="Arial" w:cs="Arial"/>
          <w:sz w:val="20"/>
          <w:szCs w:val="20"/>
        </w:rPr>
        <w:t xml:space="preserve"> para constituir la contraloría;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Una vez notificado el dictamen de procedencia  la dependencia debe informar al Consejo o Consejo Municipal, según corresponda, los nombres de las personas servidoras públicas que fungirán como facilitadoras en las operac</w:t>
      </w:r>
      <w:r>
        <w:rPr>
          <w:rFonts w:ascii="Arial" w:eastAsia="Arial" w:hAnsi="Arial" w:cs="Arial"/>
          <w:sz w:val="20"/>
          <w:szCs w:val="20"/>
        </w:rPr>
        <w:t>iones de la contraloría social en un término no mayor de cinco días naturales.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En un plazo no mayor a 20 días naturales, los entes públicos deben conformar la contraloría social, con el personal propuesto en el dictamen de procedencia y las personas ser</w:t>
      </w:r>
      <w:r>
        <w:rPr>
          <w:rFonts w:ascii="Arial" w:eastAsia="Arial" w:hAnsi="Arial" w:cs="Arial"/>
          <w:sz w:val="20"/>
          <w:szCs w:val="20"/>
        </w:rPr>
        <w:t>vidoras públicas que fungirán como facilitadoras en las operaciones de la contraloría social.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150.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La Contraloría Social labora libremente y tiene derecho a consultar la información necesaria para sus fines, sin más restricciones que las establecidas por la Ley de Transparencia y Acceso a la Información Pública del  Estado de Jalisco y sus Municipios</w:t>
      </w:r>
      <w:r>
        <w:rPr>
          <w:rFonts w:ascii="Arial" w:eastAsia="Arial" w:hAnsi="Arial" w:cs="Arial"/>
          <w:sz w:val="20"/>
          <w:szCs w:val="20"/>
        </w:rPr>
        <w:t>, así como al Reglamento de Transparencia, Acceso a la Información Pública y Protección de Datos Personales de la Administración Pública Centralizada del Estado de Jalisco.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Los entes públicos deben otorgar las facilidades necesarias a las Contralorías</w:t>
      </w:r>
      <w:r>
        <w:rPr>
          <w:rFonts w:ascii="Arial" w:eastAsia="Arial" w:hAnsi="Arial" w:cs="Arial"/>
          <w:sz w:val="20"/>
          <w:szCs w:val="20"/>
        </w:rPr>
        <w:t xml:space="preserve"> Sociales, para el ejercicio de sus atribuciones.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Las Contralorías Sociales no pueden responder a intereses partidistas, religiosos, económicos o cualquiera que resulte incompatible con los fines propios de su naturaleza. No pueden obstaculizar la ejecu</w:t>
      </w:r>
      <w:r>
        <w:rPr>
          <w:rFonts w:ascii="Arial" w:eastAsia="Arial" w:hAnsi="Arial" w:cs="Arial"/>
          <w:sz w:val="20"/>
          <w:szCs w:val="20"/>
        </w:rPr>
        <w:t>ción de la actividad pública.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Los integrantes de las Contralorías Sociales no podrán recibir remuneración alguna como pago o compensación por su desempeño dentro de la misma.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151.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Una vez conformada la Contraloría Social, contará con 30 días</w:t>
      </w:r>
      <w:r>
        <w:rPr>
          <w:rFonts w:ascii="Arial" w:eastAsia="Arial" w:hAnsi="Arial" w:cs="Arial"/>
          <w:sz w:val="20"/>
          <w:szCs w:val="20"/>
        </w:rPr>
        <w:t xml:space="preserve"> naturales para elaborar el dictamen de la información analizada.</w:t>
      </w:r>
    </w:p>
    <w:p w:rsidR="00F93A14" w:rsidRDefault="00460F06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El dictamen que emite la contraloría social se remite al Consejo o Consejo Municipal, según corresponda, para su publicación en el Periódico Oficial “El  Estado de Jalisco”, en la Gaceta</w:t>
      </w:r>
      <w:r>
        <w:rPr>
          <w:rFonts w:ascii="Arial" w:eastAsia="Arial" w:hAnsi="Arial" w:cs="Arial"/>
          <w:sz w:val="20"/>
          <w:szCs w:val="20"/>
        </w:rPr>
        <w:t xml:space="preserve"> Municipal o medio de comunicación oficial con que cuente.</w:t>
      </w:r>
    </w:p>
    <w:p w:rsidR="00F93A14" w:rsidRDefault="00F93A14">
      <w:pPr>
        <w:ind w:left="0" w:hanging="2"/>
      </w:pPr>
    </w:p>
    <w:sectPr w:rsidR="00F93A14">
      <w:pgSz w:w="12240" w:h="1872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F93A1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HOJA _/_  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4714875</wp:posOffset>
          </wp:positionH>
          <wp:positionV relativeFrom="paragraph">
            <wp:posOffset>-152399</wp:posOffset>
          </wp:positionV>
          <wp:extent cx="1022604" cy="5715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-133348</wp:posOffset>
          </wp:positionV>
          <wp:extent cx="2043113" cy="534578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F93A14">
    <w:pPr>
      <w:spacing w:after="0"/>
      <w:ind w:left="1" w:hanging="3"/>
      <w:jc w:val="center"/>
      <w:rPr>
        <w:b/>
        <w:sz w:val="28"/>
        <w:szCs w:val="28"/>
      </w:rPr>
    </w:pP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CONTRALORÍA SO</w:t>
    </w:r>
    <w:r>
      <w:rPr>
        <w:b/>
        <w:sz w:val="26"/>
        <w:szCs w:val="26"/>
      </w:rPr>
      <w:t>CIAL ESTATAL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ind w:left="0" w:hanging="2"/>
    </w:pPr>
    <w:r>
      <w:rPr>
        <w:noProof/>
        <w:lang w:val="es-MX" w:eastAsia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-113344</wp:posOffset>
          </wp:positionH>
          <wp:positionV relativeFrom="paragraph">
            <wp:posOffset>247650</wp:posOffset>
          </wp:positionV>
          <wp:extent cx="10895648" cy="5772150"/>
          <wp:effectExtent l="0" t="0" r="0" b="0"/>
          <wp:wrapSquare wrapText="bothSides" distT="114300" distB="11430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079" t="24770" r="17178" b="20736"/>
                  <a:stretch>
                    <a:fillRect/>
                  </a:stretch>
                </pic:blipFill>
                <pic:spPr>
                  <a:xfrm>
                    <a:off x="0" y="0"/>
                    <a:ext cx="10895648" cy="577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8001000</wp:posOffset>
          </wp:positionH>
          <wp:positionV relativeFrom="paragraph">
            <wp:posOffset>-133348</wp:posOffset>
          </wp:positionV>
          <wp:extent cx="2043113" cy="534578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after="160"/>
      <w:ind w:left="0" w:right="20" w:hanging="2"/>
      <w:jc w:val="center"/>
      <w:rPr>
        <w:rFonts w:ascii="Arial" w:eastAsia="Arial" w:hAnsi="Arial" w:cs="Arial"/>
        <w:sz w:val="24"/>
        <w:szCs w:val="24"/>
      </w:rPr>
    </w:pPr>
    <w:bookmarkStart w:id="2" w:name="_heading=h.bxbwcucuns5q" w:colFirst="0" w:colLast="0"/>
    <w:bookmarkEnd w:id="2"/>
    <w:r>
      <w:rPr>
        <w:rFonts w:ascii="Arial" w:eastAsia="Arial" w:hAnsi="Arial" w:cs="Arial"/>
        <w:sz w:val="24"/>
        <w:szCs w:val="24"/>
      </w:rPr>
      <w:t>MARCO JURÍDICO LEGAL DE CONTRALORÍA SOCIAL</w:t>
    </w:r>
    <w:r>
      <w:rPr>
        <w:noProof/>
        <w:lang w:val="es-MX" w:eastAsia="es-MX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0" w:hanging="2"/>
      <w:jc w:val="center"/>
    </w:pPr>
    <w:r>
      <w:rPr>
        <w:rFonts w:ascii="Arial" w:eastAsia="Arial" w:hAnsi="Arial" w:cs="Arial"/>
      </w:rPr>
      <w:t xml:space="preserve">Ley del Sistema de Participación Ciudadana y Popular para la Gobernanza del Estado de Jalisco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31468-1479-4274-9E4C-A92DBB2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c.cc/aviso-MP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gE+LjnjqZHg42ThzwK3HU6b4w==">AMUW2mUp8AV0nU0n72WRnBGNHUv8o757u9oY6vWuN9agVpHX+NZL5SNkVllumbdi1FpSiO4hw9D4aWx+pnBU3FiRo9TZJtqn7AyiAbpj8alorVTG8DDkAzBIhobTDYhMW89Gy1p133vI+II8baFBVM7COJ7bB/9gHw==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2022-08-15T17:33:00Z</dcterms:created>
  <dcterms:modified xsi:type="dcterms:W3CDTF">2022-08-15T17:33:00Z</dcterms:modified>
</cp:coreProperties>
</file>