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1C19" w14:textId="77777777" w:rsidR="006525CA" w:rsidRPr="001E3994" w:rsidRDefault="006525CA" w:rsidP="004B3EC5">
      <w:pPr>
        <w:spacing w:line="276" w:lineRule="auto"/>
        <w:ind w:left="-993" w:hanging="708"/>
        <w:jc w:val="center"/>
        <w:rPr>
          <w:rFonts w:asciiTheme="majorHAnsi" w:hAnsiTheme="majorHAnsi" w:cstheme="majorHAnsi"/>
          <w:b/>
          <w:sz w:val="32"/>
        </w:rPr>
      </w:pPr>
    </w:p>
    <w:p w14:paraId="3401E707" w14:textId="77777777" w:rsidR="006525CA" w:rsidRPr="001E3994" w:rsidRDefault="006525CA" w:rsidP="004B3EC5">
      <w:pPr>
        <w:spacing w:line="276" w:lineRule="auto"/>
        <w:rPr>
          <w:rFonts w:asciiTheme="majorHAnsi" w:hAnsiTheme="majorHAnsi" w:cstheme="majorHAnsi"/>
          <w:b/>
          <w:sz w:val="32"/>
        </w:rPr>
      </w:pPr>
    </w:p>
    <w:p w14:paraId="4808D13B" w14:textId="77777777" w:rsidR="006525CA" w:rsidRPr="001E3994" w:rsidRDefault="006525CA" w:rsidP="004B3EC5">
      <w:pPr>
        <w:spacing w:line="276" w:lineRule="auto"/>
        <w:rPr>
          <w:rFonts w:asciiTheme="majorHAnsi" w:hAnsiTheme="majorHAnsi" w:cstheme="majorHAnsi"/>
          <w:b/>
          <w:sz w:val="32"/>
        </w:rPr>
      </w:pPr>
    </w:p>
    <w:p w14:paraId="154FAE89" w14:textId="06323B87" w:rsidR="006525CA" w:rsidRPr="001E3994" w:rsidRDefault="00616A4E" w:rsidP="004B3EC5">
      <w:pPr>
        <w:spacing w:line="276" w:lineRule="auto"/>
        <w:rPr>
          <w:rFonts w:asciiTheme="majorHAnsi" w:hAnsiTheme="majorHAnsi" w:cstheme="majorHAnsi"/>
          <w:b/>
          <w:sz w:val="32"/>
        </w:rPr>
      </w:pPr>
      <w:r w:rsidRPr="001E3994">
        <w:rPr>
          <w:rFonts w:asciiTheme="majorHAnsi" w:hAnsiTheme="majorHAnsi" w:cstheme="majorHAnsi"/>
          <w:noProof/>
          <w:lang w:eastAsia="es-MX"/>
        </w:rPr>
        <mc:AlternateContent>
          <mc:Choice Requires="wps">
            <w:drawing>
              <wp:anchor distT="0" distB="0" distL="114300" distR="114300" simplePos="0" relativeHeight="251657216" behindDoc="0" locked="0" layoutInCell="1" allowOverlap="1" wp14:anchorId="07D586B7" wp14:editId="1FC525C0">
                <wp:simplePos x="0" y="0"/>
                <wp:positionH relativeFrom="margin">
                  <wp:posOffset>241935</wp:posOffset>
                </wp:positionH>
                <wp:positionV relativeFrom="paragraph">
                  <wp:posOffset>19050</wp:posOffset>
                </wp:positionV>
                <wp:extent cx="5486400" cy="7524750"/>
                <wp:effectExtent l="19050" t="19050" r="19050" b="19050"/>
                <wp:wrapNone/>
                <wp:docPr id="1" name="Cuadro de texto 1"/>
                <wp:cNvGraphicFramePr/>
                <a:graphic xmlns:a="http://schemas.openxmlformats.org/drawingml/2006/main">
                  <a:graphicData uri="http://schemas.microsoft.com/office/word/2010/wordprocessingShape">
                    <wps:wsp>
                      <wps:cNvSpPr txBox="1"/>
                      <wps:spPr>
                        <a:xfrm>
                          <a:off x="0" y="0"/>
                          <a:ext cx="5486400" cy="7524750"/>
                        </a:xfrm>
                        <a:prstGeom prst="rect">
                          <a:avLst/>
                        </a:prstGeom>
                        <a:ln w="28575">
                          <a:solidFill>
                            <a:schemeClr val="tx1"/>
                          </a:solidFill>
                        </a:ln>
                      </wps:spPr>
                      <wps:style>
                        <a:lnRef idx="2">
                          <a:schemeClr val="dk1"/>
                        </a:lnRef>
                        <a:fillRef idx="1">
                          <a:schemeClr val="lt1"/>
                        </a:fillRef>
                        <a:effectRef idx="0">
                          <a:schemeClr val="dk1"/>
                        </a:effectRef>
                        <a:fontRef idx="minor">
                          <a:schemeClr val="dk1"/>
                        </a:fontRef>
                      </wps:style>
                      <wps:txbx>
                        <w:txbxContent>
                          <w:p w14:paraId="2545127C" w14:textId="77777777" w:rsidR="001E3994" w:rsidRPr="000E7DDB" w:rsidRDefault="001E3994" w:rsidP="001E3994">
                            <w:pPr>
                              <w:jc w:val="both"/>
                              <w:rPr>
                                <w:rFonts w:ascii="Constantia" w:hAnsi="Constantia"/>
                                <w:b/>
                                <w:sz w:val="40"/>
                              </w:rPr>
                            </w:pPr>
                          </w:p>
                          <w:p w14:paraId="65E2E434" w14:textId="77777777" w:rsidR="001E3994" w:rsidRPr="000E7DDB" w:rsidRDefault="001E3994" w:rsidP="001E3994">
                            <w:pPr>
                              <w:spacing w:after="0"/>
                              <w:ind w:left="1134" w:right="997"/>
                              <w:jc w:val="both"/>
                              <w:rPr>
                                <w:rFonts w:ascii="Constantia" w:hAnsi="Constantia"/>
                                <w:sz w:val="28"/>
                              </w:rPr>
                            </w:pPr>
                          </w:p>
                          <w:p w14:paraId="4C5991D5" w14:textId="77777777" w:rsidR="001E3994" w:rsidRDefault="001E3994" w:rsidP="001E3994">
                            <w:pPr>
                              <w:ind w:right="997"/>
                              <w:jc w:val="both"/>
                              <w:rPr>
                                <w:rFonts w:ascii="Constantia" w:hAnsi="Constantia"/>
                                <w:b/>
                                <w:sz w:val="40"/>
                              </w:rPr>
                            </w:pPr>
                          </w:p>
                          <w:p w14:paraId="233C6449" w14:textId="0355CE65" w:rsidR="001E3994" w:rsidRDefault="001E3994" w:rsidP="001E3994">
                            <w:pPr>
                              <w:ind w:left="1134" w:right="997"/>
                              <w:jc w:val="both"/>
                              <w:rPr>
                                <w:rFonts w:ascii="Constantia" w:hAnsi="Constantia"/>
                                <w:b/>
                                <w:sz w:val="40"/>
                              </w:rPr>
                            </w:pPr>
                          </w:p>
                          <w:p w14:paraId="0DDBA2CE" w14:textId="3E016F76" w:rsidR="00616A4E" w:rsidRDefault="00616A4E" w:rsidP="001E3994">
                            <w:pPr>
                              <w:ind w:left="1134" w:right="997"/>
                              <w:jc w:val="both"/>
                              <w:rPr>
                                <w:rFonts w:ascii="Constantia" w:hAnsi="Constantia"/>
                                <w:b/>
                                <w:sz w:val="40"/>
                              </w:rPr>
                            </w:pPr>
                          </w:p>
                          <w:p w14:paraId="581DC54D" w14:textId="09270719" w:rsidR="00616A4E" w:rsidRDefault="00616A4E" w:rsidP="001E3994">
                            <w:pPr>
                              <w:ind w:left="1134" w:right="997"/>
                              <w:jc w:val="both"/>
                              <w:rPr>
                                <w:rFonts w:ascii="Constantia" w:hAnsi="Constantia"/>
                                <w:b/>
                                <w:sz w:val="40"/>
                              </w:rPr>
                            </w:pPr>
                          </w:p>
                          <w:p w14:paraId="394801AE" w14:textId="77777777" w:rsidR="00616A4E" w:rsidRDefault="00616A4E" w:rsidP="001E3994">
                            <w:pPr>
                              <w:ind w:left="1134" w:right="997"/>
                              <w:jc w:val="both"/>
                              <w:rPr>
                                <w:rFonts w:ascii="Constantia" w:hAnsi="Constantia"/>
                                <w:b/>
                                <w:sz w:val="40"/>
                              </w:rPr>
                            </w:pPr>
                          </w:p>
                          <w:p w14:paraId="3713B73A" w14:textId="77C486AD" w:rsidR="001E3994" w:rsidRPr="007217FE" w:rsidRDefault="001E3994" w:rsidP="001E3994">
                            <w:pPr>
                              <w:spacing w:after="0" w:line="240" w:lineRule="auto"/>
                              <w:jc w:val="both"/>
                              <w:rPr>
                                <w:rFonts w:ascii="Trebuchet MS" w:hAnsi="Trebuchet MS" w:cstheme="majorHAnsi"/>
                                <w:b/>
                                <w:sz w:val="36"/>
                                <w:szCs w:val="36"/>
                              </w:rPr>
                            </w:pPr>
                            <w:r w:rsidRPr="007217FE">
                              <w:rPr>
                                <w:rFonts w:ascii="Trebuchet MS" w:hAnsi="Trebuchet MS" w:cstheme="majorHAnsi"/>
                                <w:b/>
                                <w:sz w:val="36"/>
                                <w:szCs w:val="36"/>
                              </w:rPr>
                              <w:t xml:space="preserve">INFORME QUE DA CUENTA DEL SEGUIMIENTO DEL REGISTRO ESTATAL DE PERSONAS SANCIONADAS POR VIOLENCIA POLÍTICA </w:t>
                            </w:r>
                            <w:proofErr w:type="gramStart"/>
                            <w:r w:rsidRPr="007217FE">
                              <w:rPr>
                                <w:rFonts w:ascii="Trebuchet MS" w:hAnsi="Trebuchet MS" w:cstheme="majorHAnsi"/>
                                <w:b/>
                                <w:sz w:val="36"/>
                                <w:szCs w:val="36"/>
                              </w:rPr>
                              <w:t>EN RAZÓN DE</w:t>
                            </w:r>
                            <w:proofErr w:type="gramEnd"/>
                            <w:r w:rsidRPr="007217FE">
                              <w:rPr>
                                <w:rFonts w:ascii="Trebuchet MS" w:hAnsi="Trebuchet MS" w:cstheme="majorHAnsi"/>
                                <w:b/>
                                <w:sz w:val="36"/>
                                <w:szCs w:val="36"/>
                              </w:rPr>
                              <w:t xml:space="preserve"> GÉNERO</w:t>
                            </w:r>
                          </w:p>
                          <w:p w14:paraId="5EDFF812" w14:textId="22371B01" w:rsidR="001E3994" w:rsidRPr="001E3994" w:rsidRDefault="001E3994" w:rsidP="001E3994">
                            <w:pPr>
                              <w:pStyle w:val="Sinespaciado"/>
                              <w:spacing w:line="276" w:lineRule="auto"/>
                              <w:ind w:right="230"/>
                              <w:jc w:val="both"/>
                              <w:rPr>
                                <w:rFonts w:asciiTheme="majorHAnsi" w:hAnsiTheme="majorHAnsi" w:cstheme="majorHAnsi"/>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586B7" id="_x0000_t202" coordsize="21600,21600" o:spt="202" path="m,l,21600r21600,l21600,xe">
                <v:stroke joinstyle="miter"/>
                <v:path gradientshapeok="t" o:connecttype="rect"/>
              </v:shapetype>
              <v:shape id="Cuadro de texto 1" o:spid="_x0000_s1026" type="#_x0000_t202" style="position:absolute;margin-left:19.05pt;margin-top:1.5pt;width:6in;height:59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" fillcolor="white [3201]" strokecolor="black [3213]" strokeweight="2.25pt">
                <v:textbox>
                  <w:txbxContent>
                    <w:p w14:paraId="2545127C" w14:textId="77777777" w:rsidR="001E3994" w:rsidRPr="000E7DDB" w:rsidRDefault="001E3994" w:rsidP="001E3994">
                      <w:pPr>
                        <w:jc w:val="both"/>
                        <w:rPr>
                          <w:rFonts w:ascii="Constantia" w:hAnsi="Constantia"/>
                          <w:b/>
                          <w:sz w:val="40"/>
                        </w:rPr>
                      </w:pPr>
                    </w:p>
                    <w:p w14:paraId="65E2E434" w14:textId="77777777" w:rsidR="001E3994" w:rsidRPr="000E7DDB" w:rsidRDefault="001E3994" w:rsidP="001E3994">
                      <w:pPr>
                        <w:spacing w:after="0"/>
                        <w:ind w:left="1134" w:right="997"/>
                        <w:jc w:val="both"/>
                        <w:rPr>
                          <w:rFonts w:ascii="Constantia" w:hAnsi="Constantia"/>
                          <w:sz w:val="28"/>
                        </w:rPr>
                      </w:pPr>
                    </w:p>
                    <w:p w14:paraId="4C5991D5" w14:textId="77777777" w:rsidR="001E3994" w:rsidRDefault="001E3994" w:rsidP="001E3994">
                      <w:pPr>
                        <w:ind w:right="997"/>
                        <w:jc w:val="both"/>
                        <w:rPr>
                          <w:rFonts w:ascii="Constantia" w:hAnsi="Constantia"/>
                          <w:b/>
                          <w:sz w:val="40"/>
                        </w:rPr>
                      </w:pPr>
                    </w:p>
                    <w:p w14:paraId="233C6449" w14:textId="0355CE65" w:rsidR="001E3994" w:rsidRDefault="001E3994" w:rsidP="001E3994">
                      <w:pPr>
                        <w:ind w:left="1134" w:right="997"/>
                        <w:jc w:val="both"/>
                        <w:rPr>
                          <w:rFonts w:ascii="Constantia" w:hAnsi="Constantia"/>
                          <w:b/>
                          <w:sz w:val="40"/>
                        </w:rPr>
                      </w:pPr>
                    </w:p>
                    <w:p w14:paraId="0DDBA2CE" w14:textId="3E016F76" w:rsidR="00616A4E" w:rsidRDefault="00616A4E" w:rsidP="001E3994">
                      <w:pPr>
                        <w:ind w:left="1134" w:right="997"/>
                        <w:jc w:val="both"/>
                        <w:rPr>
                          <w:rFonts w:ascii="Constantia" w:hAnsi="Constantia"/>
                          <w:b/>
                          <w:sz w:val="40"/>
                        </w:rPr>
                      </w:pPr>
                    </w:p>
                    <w:p w14:paraId="581DC54D" w14:textId="09270719" w:rsidR="00616A4E" w:rsidRDefault="00616A4E" w:rsidP="001E3994">
                      <w:pPr>
                        <w:ind w:left="1134" w:right="997"/>
                        <w:jc w:val="both"/>
                        <w:rPr>
                          <w:rFonts w:ascii="Constantia" w:hAnsi="Constantia"/>
                          <w:b/>
                          <w:sz w:val="40"/>
                        </w:rPr>
                      </w:pPr>
                    </w:p>
                    <w:p w14:paraId="394801AE" w14:textId="77777777" w:rsidR="00616A4E" w:rsidRDefault="00616A4E" w:rsidP="001E3994">
                      <w:pPr>
                        <w:ind w:left="1134" w:right="997"/>
                        <w:jc w:val="both"/>
                        <w:rPr>
                          <w:rFonts w:ascii="Constantia" w:hAnsi="Constantia"/>
                          <w:b/>
                          <w:sz w:val="40"/>
                        </w:rPr>
                      </w:pPr>
                    </w:p>
                    <w:p w14:paraId="3713B73A" w14:textId="77C486AD" w:rsidR="001E3994" w:rsidRPr="007217FE" w:rsidRDefault="001E3994" w:rsidP="001E3994">
                      <w:pPr>
                        <w:spacing w:after="0" w:line="240" w:lineRule="auto"/>
                        <w:jc w:val="both"/>
                        <w:rPr>
                          <w:rFonts w:ascii="Trebuchet MS" w:hAnsi="Trebuchet MS" w:cstheme="majorHAnsi"/>
                          <w:b/>
                          <w:sz w:val="36"/>
                          <w:szCs w:val="36"/>
                        </w:rPr>
                      </w:pPr>
                      <w:r w:rsidRPr="007217FE">
                        <w:rPr>
                          <w:rFonts w:ascii="Trebuchet MS" w:hAnsi="Trebuchet MS" w:cstheme="majorHAnsi"/>
                          <w:b/>
                          <w:sz w:val="36"/>
                          <w:szCs w:val="36"/>
                        </w:rPr>
                        <w:t xml:space="preserve">INFORME QUE DA CUENTA DEL SEGUIMIENTO DEL REGISTRO ESTATAL DE PERSONAS SANCIONADAS POR VIOLENCIA POLÍTICA </w:t>
                      </w:r>
                      <w:proofErr w:type="gramStart"/>
                      <w:r w:rsidRPr="007217FE">
                        <w:rPr>
                          <w:rFonts w:ascii="Trebuchet MS" w:hAnsi="Trebuchet MS" w:cstheme="majorHAnsi"/>
                          <w:b/>
                          <w:sz w:val="36"/>
                          <w:szCs w:val="36"/>
                        </w:rPr>
                        <w:t>EN RAZÓN DE</w:t>
                      </w:r>
                      <w:proofErr w:type="gramEnd"/>
                      <w:r w:rsidRPr="007217FE">
                        <w:rPr>
                          <w:rFonts w:ascii="Trebuchet MS" w:hAnsi="Trebuchet MS" w:cstheme="majorHAnsi"/>
                          <w:b/>
                          <w:sz w:val="36"/>
                          <w:szCs w:val="36"/>
                        </w:rPr>
                        <w:t xml:space="preserve"> GÉNERO</w:t>
                      </w:r>
                    </w:p>
                    <w:p w14:paraId="5EDFF812" w14:textId="22371B01" w:rsidR="001E3994" w:rsidRPr="001E3994" w:rsidRDefault="001E3994" w:rsidP="001E3994">
                      <w:pPr>
                        <w:pStyle w:val="Sinespaciado"/>
                        <w:spacing w:line="276" w:lineRule="auto"/>
                        <w:ind w:right="230"/>
                        <w:jc w:val="both"/>
                        <w:rPr>
                          <w:rFonts w:asciiTheme="majorHAnsi" w:hAnsiTheme="majorHAnsi" w:cstheme="majorHAnsi"/>
                          <w:b/>
                          <w:sz w:val="40"/>
                          <w:szCs w:val="40"/>
                        </w:rPr>
                      </w:pPr>
                    </w:p>
                  </w:txbxContent>
                </v:textbox>
                <w10:wrap anchorx="margin"/>
              </v:shape>
            </w:pict>
          </mc:Fallback>
        </mc:AlternateContent>
      </w:r>
    </w:p>
    <w:p w14:paraId="2CE7790A" w14:textId="79B13F85" w:rsidR="006525CA" w:rsidRPr="001E3994" w:rsidRDefault="006525CA" w:rsidP="004B3EC5">
      <w:pPr>
        <w:spacing w:line="276" w:lineRule="auto"/>
        <w:rPr>
          <w:rFonts w:asciiTheme="majorHAnsi" w:hAnsiTheme="majorHAnsi" w:cstheme="majorHAnsi"/>
          <w:b/>
          <w:sz w:val="32"/>
        </w:rPr>
      </w:pPr>
    </w:p>
    <w:p w14:paraId="1E4CF0FB" w14:textId="5D939177" w:rsidR="001E3994" w:rsidRPr="001E3994" w:rsidRDefault="001E3994" w:rsidP="001E3994">
      <w:pPr>
        <w:rPr>
          <w:rFonts w:asciiTheme="majorHAnsi" w:hAnsiTheme="majorHAnsi" w:cstheme="majorHAnsi"/>
        </w:rPr>
      </w:pPr>
    </w:p>
    <w:p w14:paraId="08C59BC9" w14:textId="67E98F7A" w:rsidR="001E3994" w:rsidRPr="001E3994" w:rsidRDefault="001E3994" w:rsidP="001E3994">
      <w:pPr>
        <w:rPr>
          <w:rFonts w:asciiTheme="majorHAnsi" w:hAnsiTheme="majorHAnsi" w:cstheme="majorHAnsi"/>
        </w:rPr>
      </w:pPr>
    </w:p>
    <w:p w14:paraId="1FF63641" w14:textId="77777777" w:rsidR="001E3994" w:rsidRPr="001E3994" w:rsidRDefault="001E3994" w:rsidP="001E3994">
      <w:pPr>
        <w:rPr>
          <w:rFonts w:asciiTheme="majorHAnsi" w:hAnsiTheme="majorHAnsi" w:cstheme="majorHAnsi"/>
        </w:rPr>
      </w:pPr>
      <w:r w:rsidRPr="001E3994">
        <w:rPr>
          <w:rFonts w:asciiTheme="majorHAnsi" w:hAnsiTheme="majorHAnsi" w:cstheme="majorHAnsi"/>
          <w:noProof/>
          <w:lang w:eastAsia="es-MX"/>
        </w:rPr>
        <w:drawing>
          <wp:anchor distT="0" distB="0" distL="114300" distR="114300" simplePos="0" relativeHeight="251658240" behindDoc="0" locked="0" layoutInCell="1" allowOverlap="1" wp14:anchorId="30C80F20" wp14:editId="46D17E41">
            <wp:simplePos x="0" y="0"/>
            <wp:positionH relativeFrom="margin">
              <wp:posOffset>2234565</wp:posOffset>
            </wp:positionH>
            <wp:positionV relativeFrom="paragraph">
              <wp:posOffset>203835</wp:posOffset>
            </wp:positionV>
            <wp:extent cx="1371600" cy="685800"/>
            <wp:effectExtent l="0" t="0" r="0" b="0"/>
            <wp:wrapSquare wrapText="bothSides"/>
            <wp:docPr id="13" name="Imagen 13" descr="Archivo:Logotipo del IEPC Jalisco.pn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Logotipo del IEPC Jalisco.png - Wikipedia, la enciclopedia lib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8C12FC" w14:textId="77777777" w:rsidR="001E3994" w:rsidRPr="001E3994" w:rsidRDefault="001E3994" w:rsidP="001E3994">
      <w:pPr>
        <w:rPr>
          <w:rFonts w:asciiTheme="majorHAnsi" w:hAnsiTheme="majorHAnsi" w:cstheme="majorHAnsi"/>
        </w:rPr>
      </w:pPr>
    </w:p>
    <w:p w14:paraId="6FC1304D" w14:textId="77777777" w:rsidR="001E3994" w:rsidRPr="001E3994" w:rsidRDefault="001E3994" w:rsidP="001E3994">
      <w:pPr>
        <w:rPr>
          <w:rFonts w:asciiTheme="majorHAnsi" w:hAnsiTheme="majorHAnsi" w:cstheme="majorHAnsi"/>
        </w:rPr>
      </w:pPr>
    </w:p>
    <w:p w14:paraId="6166E33F" w14:textId="77777777" w:rsidR="001E3994" w:rsidRPr="001E3994" w:rsidRDefault="001E3994" w:rsidP="001E3994">
      <w:pPr>
        <w:rPr>
          <w:rFonts w:asciiTheme="majorHAnsi" w:hAnsiTheme="majorHAnsi" w:cstheme="majorHAnsi"/>
        </w:rPr>
      </w:pPr>
    </w:p>
    <w:p w14:paraId="4328C9AB" w14:textId="77777777" w:rsidR="001E3994" w:rsidRPr="001E3994" w:rsidRDefault="001E3994" w:rsidP="001E3994">
      <w:pPr>
        <w:rPr>
          <w:rFonts w:asciiTheme="majorHAnsi" w:hAnsiTheme="majorHAnsi" w:cstheme="majorHAnsi"/>
        </w:rPr>
      </w:pPr>
    </w:p>
    <w:p w14:paraId="0ECD8089" w14:textId="77777777" w:rsidR="001E3994" w:rsidRPr="001E3994" w:rsidRDefault="001E3994" w:rsidP="001E3994">
      <w:pPr>
        <w:rPr>
          <w:rFonts w:asciiTheme="majorHAnsi" w:hAnsiTheme="majorHAnsi" w:cstheme="majorHAnsi"/>
        </w:rPr>
      </w:pPr>
    </w:p>
    <w:p w14:paraId="7CC8D252" w14:textId="77777777" w:rsidR="001E3994" w:rsidRPr="001E3994" w:rsidRDefault="001E3994" w:rsidP="001E3994">
      <w:pPr>
        <w:rPr>
          <w:rFonts w:asciiTheme="majorHAnsi" w:hAnsiTheme="majorHAnsi" w:cstheme="majorHAnsi"/>
        </w:rPr>
      </w:pPr>
    </w:p>
    <w:p w14:paraId="3F3989BA" w14:textId="77777777" w:rsidR="001E3994" w:rsidRPr="001E3994" w:rsidRDefault="001E3994" w:rsidP="001E3994">
      <w:pPr>
        <w:rPr>
          <w:rFonts w:asciiTheme="majorHAnsi" w:hAnsiTheme="majorHAnsi" w:cstheme="majorHAnsi"/>
        </w:rPr>
      </w:pPr>
    </w:p>
    <w:p w14:paraId="1D657AD1" w14:textId="77777777" w:rsidR="001E3994" w:rsidRPr="001E3994" w:rsidRDefault="001E3994" w:rsidP="001E3994">
      <w:pPr>
        <w:rPr>
          <w:rFonts w:asciiTheme="majorHAnsi" w:hAnsiTheme="majorHAnsi" w:cstheme="majorHAnsi"/>
        </w:rPr>
      </w:pPr>
    </w:p>
    <w:p w14:paraId="59255A06" w14:textId="77777777" w:rsidR="001E3994" w:rsidRPr="001E3994" w:rsidRDefault="001E3994" w:rsidP="001E3994">
      <w:pPr>
        <w:rPr>
          <w:rFonts w:asciiTheme="majorHAnsi" w:hAnsiTheme="majorHAnsi" w:cstheme="majorHAnsi"/>
        </w:rPr>
      </w:pPr>
    </w:p>
    <w:p w14:paraId="08FB7791" w14:textId="77777777" w:rsidR="001E3994" w:rsidRPr="001E3994" w:rsidRDefault="001E3994" w:rsidP="001E3994">
      <w:pPr>
        <w:rPr>
          <w:rFonts w:asciiTheme="majorHAnsi" w:hAnsiTheme="majorHAnsi" w:cstheme="majorHAnsi"/>
        </w:rPr>
      </w:pPr>
    </w:p>
    <w:p w14:paraId="3226B1EB" w14:textId="77777777" w:rsidR="001E3994" w:rsidRPr="001E3994" w:rsidRDefault="001E3994" w:rsidP="001E3994">
      <w:pPr>
        <w:rPr>
          <w:rFonts w:asciiTheme="majorHAnsi" w:hAnsiTheme="majorHAnsi" w:cstheme="majorHAnsi"/>
        </w:rPr>
      </w:pPr>
    </w:p>
    <w:p w14:paraId="11845FB6" w14:textId="77777777" w:rsidR="001E3994" w:rsidRPr="001E3994" w:rsidRDefault="001E3994" w:rsidP="001E3994">
      <w:pPr>
        <w:tabs>
          <w:tab w:val="left" w:pos="8100"/>
        </w:tabs>
        <w:rPr>
          <w:rFonts w:asciiTheme="majorHAnsi" w:hAnsiTheme="majorHAnsi" w:cstheme="majorHAnsi"/>
        </w:rPr>
      </w:pPr>
      <w:r w:rsidRPr="001E3994">
        <w:rPr>
          <w:rFonts w:asciiTheme="majorHAnsi" w:hAnsiTheme="majorHAnsi" w:cstheme="majorHAnsi"/>
        </w:rPr>
        <w:tab/>
      </w:r>
    </w:p>
    <w:p w14:paraId="1E588CB4" w14:textId="77777777" w:rsidR="001E3994" w:rsidRPr="001E3994" w:rsidRDefault="001E3994" w:rsidP="001E3994">
      <w:pPr>
        <w:rPr>
          <w:rFonts w:asciiTheme="majorHAnsi" w:hAnsiTheme="majorHAnsi" w:cstheme="majorHAnsi"/>
        </w:rPr>
      </w:pPr>
    </w:p>
    <w:p w14:paraId="471B421C" w14:textId="461AA916" w:rsidR="006525CA" w:rsidRPr="001E3994" w:rsidRDefault="001E3994" w:rsidP="001E3994">
      <w:pPr>
        <w:spacing w:line="276" w:lineRule="auto"/>
        <w:rPr>
          <w:rFonts w:asciiTheme="majorHAnsi" w:hAnsiTheme="majorHAnsi" w:cstheme="majorHAnsi"/>
          <w:b/>
          <w:sz w:val="32"/>
        </w:rPr>
      </w:pPr>
      <w:r w:rsidRPr="001E3994">
        <w:rPr>
          <w:rFonts w:asciiTheme="majorHAnsi" w:hAnsiTheme="majorHAnsi" w:cstheme="majorHAnsi"/>
        </w:rPr>
        <w:br w:type="page"/>
      </w:r>
    </w:p>
    <w:p w14:paraId="3D2CF1AF" w14:textId="77777777" w:rsidR="00A3764B" w:rsidRDefault="00A3764B" w:rsidP="001E3994">
      <w:pPr>
        <w:spacing w:after="0" w:line="240" w:lineRule="auto"/>
        <w:jc w:val="both"/>
        <w:rPr>
          <w:rFonts w:ascii="Trebuchet MS" w:hAnsi="Trebuchet MS" w:cstheme="majorHAnsi"/>
          <w:b/>
          <w:sz w:val="24"/>
          <w:szCs w:val="24"/>
        </w:rPr>
      </w:pPr>
    </w:p>
    <w:p w14:paraId="3C00C697" w14:textId="77777777" w:rsidR="00A3764B" w:rsidRDefault="00A3764B" w:rsidP="001E3994">
      <w:pPr>
        <w:spacing w:after="0" w:line="240" w:lineRule="auto"/>
        <w:jc w:val="both"/>
        <w:rPr>
          <w:rFonts w:ascii="Trebuchet MS" w:hAnsi="Trebuchet MS" w:cstheme="majorHAnsi"/>
          <w:b/>
          <w:sz w:val="24"/>
          <w:szCs w:val="24"/>
        </w:rPr>
      </w:pPr>
    </w:p>
    <w:p w14:paraId="2A067FC1" w14:textId="34D3CA33" w:rsidR="001E3994" w:rsidRPr="00616A4E" w:rsidRDefault="001E3994" w:rsidP="001E3994">
      <w:pPr>
        <w:spacing w:after="0" w:line="240" w:lineRule="auto"/>
        <w:jc w:val="both"/>
        <w:rPr>
          <w:rFonts w:ascii="Trebuchet MS" w:hAnsi="Trebuchet MS" w:cstheme="majorHAnsi"/>
          <w:b/>
          <w:sz w:val="24"/>
          <w:szCs w:val="24"/>
        </w:rPr>
      </w:pPr>
      <w:r w:rsidRPr="00616A4E">
        <w:rPr>
          <w:rFonts w:ascii="Trebuchet MS" w:hAnsi="Trebuchet MS" w:cstheme="majorHAnsi"/>
          <w:b/>
          <w:sz w:val="24"/>
          <w:szCs w:val="24"/>
        </w:rPr>
        <w:t xml:space="preserve">INFORME QUE DA CUENTA DEL SEGUIMIENTO DEL REGISTRO ESTATAL DE PERSONAS SANCIONADAS POR VIOLENCIA POLÍTICA </w:t>
      </w:r>
      <w:proofErr w:type="gramStart"/>
      <w:r w:rsidRPr="00616A4E">
        <w:rPr>
          <w:rFonts w:ascii="Trebuchet MS" w:hAnsi="Trebuchet MS" w:cstheme="majorHAnsi"/>
          <w:b/>
          <w:sz w:val="24"/>
          <w:szCs w:val="24"/>
        </w:rPr>
        <w:t>EN RAZÓN DE</w:t>
      </w:r>
      <w:proofErr w:type="gramEnd"/>
      <w:r w:rsidRPr="00616A4E">
        <w:rPr>
          <w:rFonts w:ascii="Trebuchet MS" w:hAnsi="Trebuchet MS" w:cstheme="majorHAnsi"/>
          <w:b/>
          <w:sz w:val="24"/>
          <w:szCs w:val="24"/>
        </w:rPr>
        <w:t xml:space="preserve"> GÉNERO.</w:t>
      </w:r>
    </w:p>
    <w:p w14:paraId="673B0ADF" w14:textId="77777777" w:rsidR="00BD496E" w:rsidRPr="00616A4E" w:rsidRDefault="00BD496E" w:rsidP="004B3EC5">
      <w:pPr>
        <w:spacing w:line="276" w:lineRule="auto"/>
        <w:jc w:val="both"/>
        <w:rPr>
          <w:rFonts w:ascii="Trebuchet MS" w:hAnsi="Trebuchet MS" w:cstheme="majorHAnsi"/>
          <w:sz w:val="24"/>
          <w:szCs w:val="24"/>
        </w:rPr>
      </w:pPr>
    </w:p>
    <w:p w14:paraId="071FB48D" w14:textId="50E11DA4" w:rsidR="00C9188A" w:rsidRPr="00616A4E" w:rsidRDefault="00BD496E" w:rsidP="004B3EC5">
      <w:pPr>
        <w:spacing w:line="276" w:lineRule="auto"/>
        <w:jc w:val="center"/>
        <w:rPr>
          <w:rFonts w:ascii="Trebuchet MS" w:hAnsi="Trebuchet MS" w:cstheme="majorHAnsi"/>
          <w:b/>
          <w:sz w:val="24"/>
          <w:szCs w:val="24"/>
        </w:rPr>
      </w:pPr>
      <w:r w:rsidRPr="00616A4E">
        <w:rPr>
          <w:rFonts w:ascii="Trebuchet MS" w:hAnsi="Trebuchet MS" w:cstheme="majorHAnsi"/>
          <w:b/>
          <w:sz w:val="24"/>
          <w:szCs w:val="24"/>
        </w:rPr>
        <w:t>ANTECEDENTES</w:t>
      </w:r>
    </w:p>
    <w:p w14:paraId="741CE145" w14:textId="1BF80B92" w:rsidR="002B16EB" w:rsidRPr="00616A4E" w:rsidRDefault="002B16EB" w:rsidP="004B3EC5">
      <w:pPr>
        <w:tabs>
          <w:tab w:val="left" w:pos="8100"/>
        </w:tabs>
        <w:spacing w:line="276" w:lineRule="auto"/>
        <w:jc w:val="both"/>
        <w:rPr>
          <w:rFonts w:ascii="Trebuchet MS" w:hAnsi="Trebuchet MS" w:cstheme="majorHAnsi"/>
          <w:sz w:val="24"/>
          <w:szCs w:val="24"/>
        </w:rPr>
      </w:pPr>
      <w:r w:rsidRPr="00616A4E">
        <w:rPr>
          <w:rFonts w:ascii="Trebuchet MS" w:hAnsi="Trebuchet MS" w:cstheme="majorHAnsi"/>
          <w:sz w:val="24"/>
          <w:szCs w:val="24"/>
        </w:rPr>
        <w:t xml:space="preserve">El 1 de agosto de 2020, la Sala Superior del Tribunal Electoral del Poder Judicial de la Federación dictó </w:t>
      </w:r>
      <w:r w:rsidR="00616A4E">
        <w:rPr>
          <w:rFonts w:ascii="Trebuchet MS" w:hAnsi="Trebuchet MS" w:cstheme="majorHAnsi"/>
          <w:sz w:val="24"/>
          <w:szCs w:val="24"/>
        </w:rPr>
        <w:t>s</w:t>
      </w:r>
      <w:r w:rsidRPr="00616A4E">
        <w:rPr>
          <w:rFonts w:ascii="Trebuchet MS" w:hAnsi="Trebuchet MS" w:cstheme="majorHAnsi"/>
          <w:sz w:val="24"/>
          <w:szCs w:val="24"/>
        </w:rPr>
        <w:t>entencia en el expediente SUP-REC-91/2020 y acumulado que</w:t>
      </w:r>
      <w:r w:rsidR="00616A4E">
        <w:rPr>
          <w:rFonts w:ascii="Trebuchet MS" w:hAnsi="Trebuchet MS" w:cstheme="majorHAnsi"/>
          <w:sz w:val="24"/>
          <w:szCs w:val="24"/>
        </w:rPr>
        <w:t>,</w:t>
      </w:r>
      <w:r w:rsidRPr="00616A4E">
        <w:rPr>
          <w:rFonts w:ascii="Trebuchet MS" w:hAnsi="Trebuchet MS" w:cstheme="majorHAnsi"/>
          <w:sz w:val="24"/>
          <w:szCs w:val="24"/>
        </w:rPr>
        <w:t xml:space="preserve"> entre otras cuestiones</w:t>
      </w:r>
      <w:r w:rsidR="00616A4E">
        <w:rPr>
          <w:rFonts w:ascii="Trebuchet MS" w:hAnsi="Trebuchet MS" w:cstheme="majorHAnsi"/>
          <w:sz w:val="24"/>
          <w:szCs w:val="24"/>
        </w:rPr>
        <w:t>,</w:t>
      </w:r>
      <w:r w:rsidRPr="00616A4E">
        <w:rPr>
          <w:rFonts w:ascii="Trebuchet MS" w:hAnsi="Trebuchet MS" w:cstheme="majorHAnsi"/>
          <w:sz w:val="24"/>
          <w:szCs w:val="24"/>
        </w:rPr>
        <w:t xml:space="preserve"> ordenó al Instituto Nacional Electoral (INE) la emisión de los Lineamientos para la creación de un Registro Nacional de Personas Sancionadas por Violencia Política por razones de Género, el cual tiene por objeto compilar, sistematizar y hacer del conocimiento público la información relacionada con las personas que han sido sancionadas por conductas que constituyan violencia política contra las mujeres en razón de género, mediante resolución o sentencia firme o ejecutoriada emitida por las autoridades electorales administrativas o jurisdiccionales federales y locales competentes. </w:t>
      </w:r>
    </w:p>
    <w:p w14:paraId="4617434C" w14:textId="55D8AA4C" w:rsidR="002B16EB" w:rsidRPr="00616A4E" w:rsidRDefault="002B16EB" w:rsidP="004B3EC5">
      <w:pPr>
        <w:tabs>
          <w:tab w:val="left" w:pos="8100"/>
        </w:tabs>
        <w:spacing w:line="276" w:lineRule="auto"/>
        <w:jc w:val="both"/>
        <w:rPr>
          <w:rFonts w:ascii="Trebuchet MS" w:hAnsi="Trebuchet MS" w:cstheme="majorHAnsi"/>
          <w:sz w:val="24"/>
          <w:szCs w:val="24"/>
        </w:rPr>
      </w:pPr>
      <w:r w:rsidRPr="00616A4E">
        <w:rPr>
          <w:rFonts w:ascii="Trebuchet MS" w:hAnsi="Trebuchet MS" w:cstheme="majorHAnsi"/>
          <w:sz w:val="24"/>
          <w:szCs w:val="24"/>
        </w:rPr>
        <w:t xml:space="preserve">En tal virtud, el 4 de septiembre de </w:t>
      </w:r>
      <w:r w:rsidR="0091132D" w:rsidRPr="00616A4E">
        <w:rPr>
          <w:rFonts w:ascii="Trebuchet MS" w:hAnsi="Trebuchet MS" w:cstheme="majorHAnsi"/>
          <w:sz w:val="24"/>
          <w:szCs w:val="24"/>
        </w:rPr>
        <w:t>2020</w:t>
      </w:r>
      <w:r w:rsidRPr="00616A4E">
        <w:rPr>
          <w:rFonts w:ascii="Trebuchet MS" w:hAnsi="Trebuchet MS" w:cstheme="majorHAnsi"/>
          <w:sz w:val="24"/>
          <w:szCs w:val="24"/>
        </w:rPr>
        <w:t xml:space="preserve">, el INE emitió los </w:t>
      </w:r>
      <w:r w:rsidRPr="00B77F22">
        <w:rPr>
          <w:rFonts w:ascii="Trebuchet MS" w:hAnsi="Trebuchet MS" w:cstheme="majorHAnsi"/>
          <w:i/>
          <w:iCs/>
          <w:sz w:val="24"/>
          <w:szCs w:val="24"/>
        </w:rPr>
        <w:t>Lineamientos para la integración, funcionamiento, consulta, actualización y conservación del Registro Nacional de Personas Sancionadas en Materia de Violencia política contra las mujeres en razón de género</w:t>
      </w:r>
      <w:r w:rsidRPr="00616A4E">
        <w:rPr>
          <w:rFonts w:ascii="Trebuchet MS" w:hAnsi="Trebuchet MS" w:cstheme="majorHAnsi"/>
          <w:sz w:val="24"/>
          <w:szCs w:val="24"/>
        </w:rPr>
        <w:t xml:space="preserve">, con observancia obligatoria para los organismos públicos locales electorales, así como </w:t>
      </w:r>
      <w:r w:rsidR="00616A4E">
        <w:rPr>
          <w:rFonts w:ascii="Trebuchet MS" w:hAnsi="Trebuchet MS" w:cstheme="majorHAnsi"/>
          <w:sz w:val="24"/>
          <w:szCs w:val="24"/>
        </w:rPr>
        <w:t>para</w:t>
      </w:r>
      <w:r w:rsidRPr="00616A4E">
        <w:rPr>
          <w:rFonts w:ascii="Trebuchet MS" w:hAnsi="Trebuchet MS" w:cstheme="majorHAnsi"/>
          <w:sz w:val="24"/>
          <w:szCs w:val="24"/>
        </w:rPr>
        <w:t xml:space="preserve"> las autoridades administrativas, jurisdiccionales y penales federales y locales competentes para conocer los casos de </w:t>
      </w:r>
      <w:r w:rsidR="00616A4E">
        <w:rPr>
          <w:rFonts w:ascii="Trebuchet MS" w:hAnsi="Trebuchet MS" w:cstheme="majorHAnsi"/>
          <w:sz w:val="24"/>
          <w:szCs w:val="24"/>
        </w:rPr>
        <w:t>v</w:t>
      </w:r>
      <w:r w:rsidRPr="00616A4E">
        <w:rPr>
          <w:rFonts w:ascii="Trebuchet MS" w:hAnsi="Trebuchet MS" w:cstheme="majorHAnsi"/>
          <w:sz w:val="24"/>
          <w:szCs w:val="24"/>
        </w:rPr>
        <w:t>iolencia política contra las mujeres en razón de género</w:t>
      </w:r>
      <w:r w:rsidR="00616A4E">
        <w:rPr>
          <w:rFonts w:ascii="Trebuchet MS" w:hAnsi="Trebuchet MS" w:cstheme="majorHAnsi"/>
          <w:sz w:val="24"/>
          <w:szCs w:val="24"/>
        </w:rPr>
        <w:t>, m</w:t>
      </w:r>
      <w:r w:rsidRPr="00616A4E">
        <w:rPr>
          <w:rFonts w:ascii="Trebuchet MS" w:hAnsi="Trebuchet MS" w:cstheme="majorHAnsi"/>
          <w:sz w:val="24"/>
          <w:szCs w:val="24"/>
        </w:rPr>
        <w:t xml:space="preserve">ismos que entraron en vigor con el inicio del </w:t>
      </w:r>
      <w:r w:rsidR="00616A4E" w:rsidRPr="00616A4E">
        <w:rPr>
          <w:rFonts w:ascii="Trebuchet MS" w:hAnsi="Trebuchet MS" w:cstheme="majorHAnsi"/>
          <w:sz w:val="24"/>
          <w:szCs w:val="24"/>
        </w:rPr>
        <w:t xml:space="preserve">Proceso Electoral </w:t>
      </w:r>
      <w:r w:rsidRPr="00616A4E">
        <w:rPr>
          <w:rFonts w:ascii="Trebuchet MS" w:hAnsi="Trebuchet MS" w:cstheme="majorHAnsi"/>
          <w:sz w:val="24"/>
          <w:szCs w:val="24"/>
        </w:rPr>
        <w:t>2020-2021.</w:t>
      </w:r>
    </w:p>
    <w:p w14:paraId="057D9A12" w14:textId="1FC3AF14" w:rsidR="002B16EB" w:rsidRPr="00616A4E" w:rsidRDefault="002B16EB" w:rsidP="004B3EC5">
      <w:pPr>
        <w:tabs>
          <w:tab w:val="left" w:pos="8100"/>
        </w:tabs>
        <w:spacing w:line="276" w:lineRule="auto"/>
        <w:jc w:val="both"/>
        <w:rPr>
          <w:rFonts w:ascii="Trebuchet MS" w:hAnsi="Trebuchet MS" w:cstheme="majorHAnsi"/>
          <w:sz w:val="24"/>
          <w:szCs w:val="24"/>
        </w:rPr>
      </w:pPr>
      <w:r w:rsidRPr="00616A4E">
        <w:rPr>
          <w:rFonts w:ascii="Trebuchet MS" w:hAnsi="Trebuchet MS" w:cstheme="majorHAnsi"/>
          <w:sz w:val="24"/>
          <w:szCs w:val="24"/>
        </w:rPr>
        <w:t xml:space="preserve">Por su parte, el Instituto Electoral y de Participación Ciudadana del Estado de Jalisco (IEPC) aprobó los </w:t>
      </w:r>
      <w:r w:rsidRPr="00B77F22">
        <w:rPr>
          <w:rFonts w:ascii="Trebuchet MS" w:hAnsi="Trebuchet MS" w:cstheme="majorHAnsi"/>
          <w:i/>
          <w:iCs/>
          <w:sz w:val="24"/>
          <w:szCs w:val="24"/>
        </w:rPr>
        <w:t>Lineamientos para la Integración, Funcionamiento, Actualización y Conservación del Registro Estatal de Personas Sancionadas en Materi</w:t>
      </w:r>
      <w:r w:rsidR="004B3EC5" w:rsidRPr="00B77F22">
        <w:rPr>
          <w:rFonts w:ascii="Trebuchet MS" w:hAnsi="Trebuchet MS" w:cstheme="majorHAnsi"/>
          <w:i/>
          <w:iCs/>
          <w:sz w:val="24"/>
          <w:szCs w:val="24"/>
        </w:rPr>
        <w:t>a de Violencia Política Contra l</w:t>
      </w:r>
      <w:r w:rsidRPr="00B77F22">
        <w:rPr>
          <w:rFonts w:ascii="Trebuchet MS" w:hAnsi="Trebuchet MS" w:cstheme="majorHAnsi"/>
          <w:i/>
          <w:iCs/>
          <w:sz w:val="24"/>
          <w:szCs w:val="24"/>
        </w:rPr>
        <w:t xml:space="preserve">as Mujeres </w:t>
      </w:r>
      <w:proofErr w:type="gramStart"/>
      <w:r w:rsidRPr="00B77F22">
        <w:rPr>
          <w:rFonts w:ascii="Trebuchet MS" w:hAnsi="Trebuchet MS" w:cstheme="majorHAnsi"/>
          <w:i/>
          <w:iCs/>
          <w:sz w:val="24"/>
          <w:szCs w:val="24"/>
        </w:rPr>
        <w:t xml:space="preserve">en Razón </w:t>
      </w:r>
      <w:r w:rsidR="00B77F22">
        <w:rPr>
          <w:rFonts w:ascii="Trebuchet MS" w:hAnsi="Trebuchet MS" w:cstheme="majorHAnsi"/>
          <w:i/>
          <w:iCs/>
          <w:sz w:val="24"/>
          <w:szCs w:val="24"/>
        </w:rPr>
        <w:t>d</w:t>
      </w:r>
      <w:r w:rsidRPr="00B77F22">
        <w:rPr>
          <w:rFonts w:ascii="Trebuchet MS" w:hAnsi="Trebuchet MS" w:cstheme="majorHAnsi"/>
          <w:i/>
          <w:iCs/>
          <w:sz w:val="24"/>
          <w:szCs w:val="24"/>
        </w:rPr>
        <w:t>e</w:t>
      </w:r>
      <w:proofErr w:type="gramEnd"/>
      <w:r w:rsidRPr="00B77F22">
        <w:rPr>
          <w:rFonts w:ascii="Trebuchet MS" w:hAnsi="Trebuchet MS" w:cstheme="majorHAnsi"/>
          <w:i/>
          <w:iCs/>
          <w:sz w:val="24"/>
          <w:szCs w:val="24"/>
        </w:rPr>
        <w:t xml:space="preserve"> Género, así como para la Actualización del Registro Nacional</w:t>
      </w:r>
      <w:r w:rsidRPr="00616A4E">
        <w:rPr>
          <w:rFonts w:ascii="Trebuchet MS" w:hAnsi="Trebuchet MS" w:cstheme="majorHAnsi"/>
          <w:sz w:val="24"/>
          <w:szCs w:val="24"/>
        </w:rPr>
        <w:t>, el 31 de marzo, mediante el acuerdo IEPC-ACG-036/2021.</w:t>
      </w:r>
    </w:p>
    <w:p w14:paraId="6799E713" w14:textId="36A2E9A5" w:rsidR="00BD6AAE" w:rsidRPr="00616A4E" w:rsidRDefault="005A7DB6" w:rsidP="004B3EC5">
      <w:pPr>
        <w:tabs>
          <w:tab w:val="left" w:pos="8100"/>
        </w:tabs>
        <w:spacing w:line="276" w:lineRule="auto"/>
        <w:jc w:val="both"/>
        <w:rPr>
          <w:rFonts w:ascii="Trebuchet MS" w:hAnsi="Trebuchet MS" w:cstheme="majorHAnsi"/>
          <w:sz w:val="24"/>
          <w:szCs w:val="24"/>
        </w:rPr>
      </w:pPr>
      <w:r>
        <w:rPr>
          <w:rFonts w:ascii="Trebuchet MS" w:hAnsi="Trebuchet MS" w:cstheme="majorHAnsi"/>
          <w:sz w:val="24"/>
          <w:szCs w:val="24"/>
        </w:rPr>
        <w:t xml:space="preserve">En tal virtud y, con fundamento en los artículos 9 y 18 </w:t>
      </w:r>
      <w:r w:rsidR="00936D31" w:rsidRPr="00616A4E">
        <w:rPr>
          <w:rFonts w:ascii="Trebuchet MS" w:hAnsi="Trebuchet MS" w:cstheme="majorHAnsi"/>
          <w:sz w:val="24"/>
          <w:szCs w:val="24"/>
        </w:rPr>
        <w:t>de</w:t>
      </w:r>
      <w:r w:rsidR="004B3EC5" w:rsidRPr="00616A4E">
        <w:rPr>
          <w:rFonts w:ascii="Trebuchet MS" w:hAnsi="Trebuchet MS" w:cstheme="majorHAnsi"/>
          <w:sz w:val="24"/>
          <w:szCs w:val="24"/>
        </w:rPr>
        <w:t xml:space="preserve"> los L</w:t>
      </w:r>
      <w:r w:rsidR="00BD6AAE" w:rsidRPr="00616A4E">
        <w:rPr>
          <w:rFonts w:ascii="Trebuchet MS" w:hAnsi="Trebuchet MS" w:cstheme="majorHAnsi"/>
          <w:sz w:val="24"/>
          <w:szCs w:val="24"/>
        </w:rPr>
        <w:t>ineamientos señalados</w:t>
      </w:r>
      <w:r>
        <w:rPr>
          <w:rFonts w:ascii="Trebuchet MS" w:hAnsi="Trebuchet MS" w:cstheme="majorHAnsi"/>
          <w:sz w:val="24"/>
          <w:szCs w:val="24"/>
        </w:rPr>
        <w:t xml:space="preserve"> en el párrafo anterior</w:t>
      </w:r>
      <w:r w:rsidR="00BD6AAE" w:rsidRPr="00616A4E">
        <w:rPr>
          <w:rFonts w:ascii="Trebuchet MS" w:hAnsi="Trebuchet MS" w:cstheme="majorHAnsi"/>
          <w:sz w:val="24"/>
          <w:szCs w:val="24"/>
        </w:rPr>
        <w:t xml:space="preserve">, </w:t>
      </w:r>
      <w:r>
        <w:rPr>
          <w:rFonts w:ascii="Trebuchet MS" w:hAnsi="Trebuchet MS" w:cstheme="majorHAnsi"/>
          <w:sz w:val="24"/>
          <w:szCs w:val="24"/>
        </w:rPr>
        <w:t>la</w:t>
      </w:r>
      <w:r w:rsidR="00B77F22" w:rsidRPr="00616A4E">
        <w:rPr>
          <w:rFonts w:ascii="Trebuchet MS" w:hAnsi="Trebuchet MS" w:cstheme="majorHAnsi"/>
          <w:sz w:val="24"/>
          <w:szCs w:val="24"/>
        </w:rPr>
        <w:t xml:space="preserve"> Dirección Jurídica</w:t>
      </w:r>
      <w:r>
        <w:rPr>
          <w:rFonts w:ascii="Trebuchet MS" w:hAnsi="Trebuchet MS" w:cstheme="majorHAnsi"/>
          <w:sz w:val="24"/>
          <w:szCs w:val="24"/>
        </w:rPr>
        <w:t xml:space="preserve"> del </w:t>
      </w:r>
      <w:r w:rsidRPr="00616A4E">
        <w:rPr>
          <w:rFonts w:ascii="Trebuchet MS" w:hAnsi="Trebuchet MS" w:cstheme="majorHAnsi"/>
          <w:sz w:val="24"/>
          <w:szCs w:val="24"/>
        </w:rPr>
        <w:t>IEPC</w:t>
      </w:r>
      <w:r w:rsidR="00B77F22">
        <w:rPr>
          <w:rFonts w:ascii="Trebuchet MS" w:hAnsi="Trebuchet MS" w:cstheme="majorHAnsi"/>
          <w:sz w:val="24"/>
          <w:szCs w:val="24"/>
        </w:rPr>
        <w:t xml:space="preserve"> tiene</w:t>
      </w:r>
      <w:r w:rsidR="00BD6AAE" w:rsidRPr="00616A4E">
        <w:rPr>
          <w:rFonts w:ascii="Trebuchet MS" w:hAnsi="Trebuchet MS" w:cstheme="majorHAnsi"/>
          <w:sz w:val="24"/>
          <w:szCs w:val="24"/>
        </w:rPr>
        <w:t xml:space="preserve"> la obligación </w:t>
      </w:r>
      <w:r w:rsidR="004B3EC5" w:rsidRPr="00616A4E">
        <w:rPr>
          <w:rFonts w:ascii="Trebuchet MS" w:hAnsi="Trebuchet MS" w:cstheme="majorHAnsi"/>
          <w:sz w:val="24"/>
          <w:szCs w:val="24"/>
        </w:rPr>
        <w:t>de</w:t>
      </w:r>
      <w:r w:rsidR="00BD6AAE" w:rsidRPr="00616A4E">
        <w:rPr>
          <w:rFonts w:ascii="Trebuchet MS" w:hAnsi="Trebuchet MS" w:cstheme="majorHAnsi"/>
          <w:sz w:val="24"/>
          <w:szCs w:val="24"/>
        </w:rPr>
        <w:t xml:space="preserve"> registrar en el Sistema Informático del Registro Nacional </w:t>
      </w:r>
      <w:r w:rsidR="004B3EC5" w:rsidRPr="00616A4E">
        <w:rPr>
          <w:rFonts w:ascii="Trebuchet MS" w:hAnsi="Trebuchet MS" w:cstheme="majorHAnsi"/>
          <w:sz w:val="24"/>
          <w:szCs w:val="24"/>
        </w:rPr>
        <w:t>y Estatal</w:t>
      </w:r>
      <w:r w:rsidR="00BD6AAE" w:rsidRPr="00616A4E">
        <w:rPr>
          <w:rFonts w:ascii="Trebuchet MS" w:hAnsi="Trebuchet MS" w:cstheme="majorHAnsi"/>
          <w:sz w:val="24"/>
          <w:szCs w:val="24"/>
        </w:rPr>
        <w:t xml:space="preserve"> la información </w:t>
      </w:r>
      <w:r w:rsidR="00936D31" w:rsidRPr="00616A4E">
        <w:rPr>
          <w:rFonts w:ascii="Trebuchet MS" w:hAnsi="Trebuchet MS" w:cstheme="majorHAnsi"/>
          <w:sz w:val="24"/>
          <w:szCs w:val="24"/>
        </w:rPr>
        <w:t>sobre las personas sancionadas</w:t>
      </w:r>
      <w:r w:rsidR="00B77F22">
        <w:rPr>
          <w:rFonts w:ascii="Trebuchet MS" w:hAnsi="Trebuchet MS" w:cstheme="majorHAnsi"/>
          <w:sz w:val="24"/>
          <w:szCs w:val="24"/>
        </w:rPr>
        <w:t xml:space="preserve"> por violencia política contra las mujeres en razón de género</w:t>
      </w:r>
      <w:r>
        <w:rPr>
          <w:rFonts w:ascii="Trebuchet MS" w:hAnsi="Trebuchet MS" w:cstheme="majorHAnsi"/>
          <w:sz w:val="24"/>
          <w:szCs w:val="24"/>
        </w:rPr>
        <w:t>;</w:t>
      </w:r>
      <w:r w:rsidR="00B77F22">
        <w:rPr>
          <w:rFonts w:ascii="Trebuchet MS" w:hAnsi="Trebuchet MS" w:cstheme="majorHAnsi"/>
          <w:sz w:val="24"/>
          <w:szCs w:val="24"/>
        </w:rPr>
        <w:t xml:space="preserve"> </w:t>
      </w:r>
      <w:r>
        <w:rPr>
          <w:rFonts w:ascii="Trebuchet MS" w:hAnsi="Trebuchet MS" w:cstheme="majorHAnsi"/>
          <w:sz w:val="24"/>
          <w:szCs w:val="24"/>
        </w:rPr>
        <w:t xml:space="preserve">por su parte, </w:t>
      </w:r>
      <w:r w:rsidR="00BD6AAE" w:rsidRPr="00616A4E">
        <w:rPr>
          <w:rFonts w:ascii="Trebuchet MS" w:hAnsi="Trebuchet MS" w:cstheme="majorHAnsi"/>
          <w:sz w:val="24"/>
          <w:szCs w:val="24"/>
        </w:rPr>
        <w:t>la Direcc</w:t>
      </w:r>
      <w:r w:rsidR="004B3EC5" w:rsidRPr="00616A4E">
        <w:rPr>
          <w:rFonts w:ascii="Trebuchet MS" w:hAnsi="Trebuchet MS" w:cstheme="majorHAnsi"/>
          <w:sz w:val="24"/>
          <w:szCs w:val="24"/>
        </w:rPr>
        <w:t>ión de Igualdad</w:t>
      </w:r>
      <w:r w:rsidR="0091132D" w:rsidRPr="00616A4E">
        <w:rPr>
          <w:rFonts w:ascii="Trebuchet MS" w:hAnsi="Trebuchet MS" w:cstheme="majorHAnsi"/>
          <w:sz w:val="24"/>
          <w:szCs w:val="24"/>
        </w:rPr>
        <w:t xml:space="preserve"> </w:t>
      </w:r>
      <w:r w:rsidR="00B77F22">
        <w:rPr>
          <w:rFonts w:ascii="Trebuchet MS" w:hAnsi="Trebuchet MS" w:cstheme="majorHAnsi"/>
          <w:sz w:val="24"/>
          <w:szCs w:val="24"/>
        </w:rPr>
        <w:t xml:space="preserve">de Género y No Discriminación </w:t>
      </w:r>
      <w:r>
        <w:rPr>
          <w:rFonts w:ascii="Trebuchet MS" w:hAnsi="Trebuchet MS" w:cstheme="majorHAnsi"/>
          <w:sz w:val="24"/>
          <w:szCs w:val="24"/>
        </w:rPr>
        <w:t>tiene el deber de</w:t>
      </w:r>
      <w:r w:rsidR="004B3EC5" w:rsidRPr="00616A4E">
        <w:rPr>
          <w:rFonts w:ascii="Trebuchet MS" w:hAnsi="Trebuchet MS" w:cstheme="majorHAnsi"/>
          <w:sz w:val="24"/>
          <w:szCs w:val="24"/>
        </w:rPr>
        <w:t xml:space="preserve"> revisar</w:t>
      </w:r>
      <w:r>
        <w:rPr>
          <w:rFonts w:ascii="Trebuchet MS" w:hAnsi="Trebuchet MS" w:cstheme="majorHAnsi"/>
          <w:sz w:val="24"/>
          <w:szCs w:val="24"/>
        </w:rPr>
        <w:t xml:space="preserve"> que</w:t>
      </w:r>
      <w:r w:rsidR="00BD6AAE" w:rsidRPr="00616A4E">
        <w:rPr>
          <w:rFonts w:ascii="Trebuchet MS" w:hAnsi="Trebuchet MS" w:cstheme="majorHAnsi"/>
          <w:sz w:val="24"/>
          <w:szCs w:val="24"/>
        </w:rPr>
        <w:t xml:space="preserve"> la información </w:t>
      </w:r>
      <w:r>
        <w:rPr>
          <w:rFonts w:ascii="Trebuchet MS" w:hAnsi="Trebuchet MS" w:cstheme="majorHAnsi"/>
          <w:sz w:val="24"/>
          <w:szCs w:val="24"/>
        </w:rPr>
        <w:t xml:space="preserve">contenida </w:t>
      </w:r>
      <w:r w:rsidR="00BD6AAE" w:rsidRPr="00616A4E">
        <w:rPr>
          <w:rFonts w:ascii="Trebuchet MS" w:hAnsi="Trebuchet MS" w:cstheme="majorHAnsi"/>
          <w:sz w:val="24"/>
          <w:szCs w:val="24"/>
        </w:rPr>
        <w:t xml:space="preserve">en </w:t>
      </w:r>
      <w:r>
        <w:rPr>
          <w:rFonts w:ascii="Trebuchet MS" w:hAnsi="Trebuchet MS" w:cstheme="majorHAnsi"/>
          <w:sz w:val="24"/>
          <w:szCs w:val="24"/>
        </w:rPr>
        <w:t>los</w:t>
      </w:r>
      <w:r w:rsidR="00BD6AAE" w:rsidRPr="00616A4E">
        <w:rPr>
          <w:rFonts w:ascii="Trebuchet MS" w:hAnsi="Trebuchet MS" w:cstheme="majorHAnsi"/>
          <w:sz w:val="24"/>
          <w:szCs w:val="24"/>
        </w:rPr>
        <w:t xml:space="preserve"> </w:t>
      </w:r>
      <w:r w:rsidR="0091132D" w:rsidRPr="00616A4E">
        <w:rPr>
          <w:rFonts w:ascii="Trebuchet MS" w:hAnsi="Trebuchet MS" w:cstheme="majorHAnsi"/>
          <w:sz w:val="24"/>
          <w:szCs w:val="24"/>
        </w:rPr>
        <w:t>R</w:t>
      </w:r>
      <w:r w:rsidR="00BD6AAE" w:rsidRPr="00616A4E">
        <w:rPr>
          <w:rFonts w:ascii="Trebuchet MS" w:hAnsi="Trebuchet MS" w:cstheme="majorHAnsi"/>
          <w:sz w:val="24"/>
          <w:szCs w:val="24"/>
        </w:rPr>
        <w:t>egistro</w:t>
      </w:r>
      <w:r>
        <w:rPr>
          <w:rFonts w:ascii="Trebuchet MS" w:hAnsi="Trebuchet MS" w:cstheme="majorHAnsi"/>
          <w:sz w:val="24"/>
          <w:szCs w:val="24"/>
        </w:rPr>
        <w:t>s</w:t>
      </w:r>
      <w:r w:rsidR="00BD6AAE" w:rsidRPr="00616A4E">
        <w:rPr>
          <w:rFonts w:ascii="Trebuchet MS" w:hAnsi="Trebuchet MS" w:cstheme="majorHAnsi"/>
          <w:sz w:val="24"/>
          <w:szCs w:val="24"/>
        </w:rPr>
        <w:t xml:space="preserve"> referido</w:t>
      </w:r>
      <w:r>
        <w:rPr>
          <w:rFonts w:ascii="Trebuchet MS" w:hAnsi="Trebuchet MS" w:cstheme="majorHAnsi"/>
          <w:sz w:val="24"/>
          <w:szCs w:val="24"/>
        </w:rPr>
        <w:t>s esté correcta y completa, así como</w:t>
      </w:r>
      <w:r w:rsidR="00BD6AAE" w:rsidRPr="00616A4E">
        <w:rPr>
          <w:rFonts w:ascii="Trebuchet MS" w:hAnsi="Trebuchet MS" w:cstheme="majorHAnsi"/>
          <w:sz w:val="24"/>
          <w:szCs w:val="24"/>
        </w:rPr>
        <w:t xml:space="preserve"> presentar un informe mensual a la Comisión de Igualdad de Género y No Discriminación sobre el resultado de dicha revisión.</w:t>
      </w:r>
    </w:p>
    <w:p w14:paraId="3FCF6E7A" w14:textId="77777777" w:rsidR="00B22A95" w:rsidRPr="00616A4E" w:rsidRDefault="00B22A95" w:rsidP="004B3EC5">
      <w:pPr>
        <w:tabs>
          <w:tab w:val="left" w:pos="8100"/>
        </w:tabs>
        <w:spacing w:line="276" w:lineRule="auto"/>
        <w:jc w:val="both"/>
        <w:rPr>
          <w:rFonts w:ascii="Trebuchet MS" w:hAnsi="Trebuchet MS" w:cstheme="majorHAnsi"/>
          <w:sz w:val="24"/>
          <w:szCs w:val="24"/>
        </w:rPr>
      </w:pPr>
    </w:p>
    <w:p w14:paraId="613332C4" w14:textId="77777777" w:rsidR="001E3994" w:rsidRPr="00616A4E" w:rsidRDefault="001E3994" w:rsidP="004B3EC5">
      <w:pPr>
        <w:spacing w:line="276" w:lineRule="auto"/>
        <w:jc w:val="center"/>
        <w:rPr>
          <w:rFonts w:ascii="Trebuchet MS" w:hAnsi="Trebuchet MS" w:cstheme="majorHAnsi"/>
          <w:b/>
          <w:sz w:val="24"/>
          <w:szCs w:val="24"/>
        </w:rPr>
      </w:pPr>
    </w:p>
    <w:p w14:paraId="14E34178" w14:textId="70615628" w:rsidR="001F2095" w:rsidRPr="00616A4E" w:rsidRDefault="00B91E17" w:rsidP="004B3EC5">
      <w:pPr>
        <w:spacing w:line="276" w:lineRule="auto"/>
        <w:jc w:val="center"/>
        <w:rPr>
          <w:rFonts w:ascii="Trebuchet MS" w:hAnsi="Trebuchet MS" w:cstheme="majorHAnsi"/>
          <w:b/>
          <w:sz w:val="24"/>
          <w:szCs w:val="24"/>
        </w:rPr>
      </w:pPr>
      <w:r w:rsidRPr="00616A4E">
        <w:rPr>
          <w:rFonts w:ascii="Trebuchet MS" w:hAnsi="Trebuchet MS" w:cstheme="majorHAnsi"/>
          <w:b/>
          <w:sz w:val="24"/>
          <w:szCs w:val="24"/>
        </w:rPr>
        <w:t xml:space="preserve">PERSONAS INSCRITAS EN EL </w:t>
      </w:r>
      <w:r w:rsidR="001F2095" w:rsidRPr="00616A4E">
        <w:rPr>
          <w:rFonts w:ascii="Trebuchet MS" w:hAnsi="Trebuchet MS" w:cstheme="majorHAnsi"/>
          <w:b/>
          <w:sz w:val="24"/>
          <w:szCs w:val="24"/>
        </w:rPr>
        <w:t xml:space="preserve">REGISTRO ESTATAL </w:t>
      </w:r>
      <w:r w:rsidRPr="00616A4E">
        <w:rPr>
          <w:rFonts w:ascii="Trebuchet MS" w:hAnsi="Trebuchet MS" w:cstheme="majorHAnsi"/>
          <w:b/>
          <w:sz w:val="24"/>
          <w:szCs w:val="24"/>
        </w:rPr>
        <w:t>DE PERSONAS SANCIONADAS VPMG</w:t>
      </w:r>
    </w:p>
    <w:p w14:paraId="5E8F39B1" w14:textId="3FE2C8E7" w:rsidR="00602DEE" w:rsidRPr="00616A4E" w:rsidRDefault="00997F37" w:rsidP="004B3EC5">
      <w:pPr>
        <w:spacing w:line="276" w:lineRule="auto"/>
        <w:jc w:val="both"/>
        <w:rPr>
          <w:rFonts w:ascii="Trebuchet MS" w:hAnsi="Trebuchet MS" w:cstheme="majorHAnsi"/>
          <w:b/>
          <w:sz w:val="24"/>
          <w:szCs w:val="24"/>
        </w:rPr>
      </w:pPr>
      <w:r w:rsidRPr="00616A4E">
        <w:rPr>
          <w:rFonts w:ascii="Trebuchet MS" w:hAnsi="Trebuchet MS" w:cstheme="majorHAnsi"/>
          <w:sz w:val="24"/>
          <w:szCs w:val="24"/>
        </w:rPr>
        <w:t xml:space="preserve">En </w:t>
      </w:r>
      <w:r w:rsidR="00A4475E">
        <w:rPr>
          <w:rFonts w:ascii="Trebuchet MS" w:hAnsi="Trebuchet MS" w:cstheme="majorHAnsi"/>
          <w:sz w:val="24"/>
          <w:szCs w:val="24"/>
        </w:rPr>
        <w:t>ese</w:t>
      </w:r>
      <w:r w:rsidRPr="00616A4E">
        <w:rPr>
          <w:rFonts w:ascii="Trebuchet MS" w:hAnsi="Trebuchet MS" w:cstheme="majorHAnsi"/>
          <w:sz w:val="24"/>
          <w:szCs w:val="24"/>
        </w:rPr>
        <w:t xml:space="preserve"> sentido, </w:t>
      </w:r>
      <w:r w:rsidR="00A4475E" w:rsidRPr="00616A4E">
        <w:rPr>
          <w:rFonts w:ascii="Trebuchet MS" w:hAnsi="Trebuchet MS" w:cstheme="majorHAnsi"/>
          <w:sz w:val="24"/>
          <w:szCs w:val="24"/>
        </w:rPr>
        <w:t xml:space="preserve">hasta </w:t>
      </w:r>
      <w:r w:rsidR="00A4475E">
        <w:rPr>
          <w:rFonts w:ascii="Trebuchet MS" w:hAnsi="Trebuchet MS" w:cstheme="majorHAnsi"/>
          <w:sz w:val="24"/>
          <w:szCs w:val="24"/>
        </w:rPr>
        <w:t>la fecha,</w:t>
      </w:r>
      <w:r w:rsidR="00A4475E" w:rsidRPr="00616A4E">
        <w:rPr>
          <w:rFonts w:ascii="Trebuchet MS" w:hAnsi="Trebuchet MS" w:cstheme="majorHAnsi"/>
          <w:sz w:val="24"/>
          <w:szCs w:val="24"/>
        </w:rPr>
        <w:t xml:space="preserve"> </w:t>
      </w:r>
      <w:r w:rsidR="001F2095" w:rsidRPr="00616A4E">
        <w:rPr>
          <w:rFonts w:ascii="Trebuchet MS" w:hAnsi="Trebuchet MS" w:cstheme="majorHAnsi"/>
          <w:sz w:val="24"/>
          <w:szCs w:val="24"/>
        </w:rPr>
        <w:t xml:space="preserve">el </w:t>
      </w:r>
      <w:r w:rsidR="0091132D" w:rsidRPr="00616A4E">
        <w:rPr>
          <w:rFonts w:ascii="Trebuchet MS" w:hAnsi="Trebuchet MS" w:cstheme="majorHAnsi"/>
          <w:sz w:val="24"/>
          <w:szCs w:val="24"/>
        </w:rPr>
        <w:t>IEPC</w:t>
      </w:r>
      <w:r w:rsidR="001F2095" w:rsidRPr="00616A4E">
        <w:rPr>
          <w:rFonts w:ascii="Trebuchet MS" w:hAnsi="Trebuchet MS" w:cstheme="majorHAnsi"/>
          <w:sz w:val="24"/>
          <w:szCs w:val="24"/>
        </w:rPr>
        <w:t xml:space="preserve"> </w:t>
      </w:r>
      <w:r w:rsidR="00A4475E">
        <w:rPr>
          <w:rFonts w:ascii="Trebuchet MS" w:hAnsi="Trebuchet MS" w:cstheme="majorHAnsi"/>
          <w:sz w:val="24"/>
          <w:szCs w:val="24"/>
        </w:rPr>
        <w:t>ha</w:t>
      </w:r>
      <w:r w:rsidR="00602DEE" w:rsidRPr="00616A4E">
        <w:rPr>
          <w:rFonts w:ascii="Trebuchet MS" w:hAnsi="Trebuchet MS" w:cstheme="majorHAnsi"/>
          <w:sz w:val="24"/>
          <w:szCs w:val="24"/>
        </w:rPr>
        <w:t xml:space="preserve"> </w:t>
      </w:r>
      <w:r w:rsidR="0091132D" w:rsidRPr="00616A4E">
        <w:rPr>
          <w:rFonts w:ascii="Trebuchet MS" w:hAnsi="Trebuchet MS" w:cstheme="majorHAnsi"/>
          <w:sz w:val="24"/>
          <w:szCs w:val="24"/>
        </w:rPr>
        <w:t>i</w:t>
      </w:r>
      <w:r w:rsidR="00602DEE" w:rsidRPr="00616A4E">
        <w:rPr>
          <w:rFonts w:ascii="Trebuchet MS" w:hAnsi="Trebuchet MS" w:cstheme="majorHAnsi"/>
          <w:sz w:val="24"/>
          <w:szCs w:val="24"/>
        </w:rPr>
        <w:t xml:space="preserve">nscrito en </w:t>
      </w:r>
      <w:r w:rsidR="00A4475E">
        <w:rPr>
          <w:rFonts w:ascii="Trebuchet MS" w:hAnsi="Trebuchet MS" w:cstheme="majorHAnsi"/>
          <w:sz w:val="24"/>
          <w:szCs w:val="24"/>
        </w:rPr>
        <w:t>los</w:t>
      </w:r>
      <w:r w:rsidR="00602DEE" w:rsidRPr="00616A4E">
        <w:rPr>
          <w:rFonts w:ascii="Trebuchet MS" w:hAnsi="Trebuchet MS" w:cstheme="majorHAnsi"/>
          <w:sz w:val="24"/>
          <w:szCs w:val="24"/>
        </w:rPr>
        <w:t xml:space="preserve"> </w:t>
      </w:r>
      <w:r w:rsidR="004A4887" w:rsidRPr="00616A4E">
        <w:rPr>
          <w:rFonts w:ascii="Trebuchet MS" w:hAnsi="Trebuchet MS" w:cstheme="majorHAnsi"/>
          <w:sz w:val="24"/>
          <w:szCs w:val="24"/>
        </w:rPr>
        <w:t>Registro</w:t>
      </w:r>
      <w:r w:rsidR="00A4475E">
        <w:rPr>
          <w:rFonts w:ascii="Trebuchet MS" w:hAnsi="Trebuchet MS" w:cstheme="majorHAnsi"/>
          <w:sz w:val="24"/>
          <w:szCs w:val="24"/>
        </w:rPr>
        <w:t>s</w:t>
      </w:r>
      <w:r w:rsidR="004A4887" w:rsidRPr="00616A4E">
        <w:rPr>
          <w:rFonts w:ascii="Trebuchet MS" w:hAnsi="Trebuchet MS" w:cstheme="majorHAnsi"/>
          <w:sz w:val="24"/>
          <w:szCs w:val="24"/>
        </w:rPr>
        <w:t xml:space="preserve"> Estatal y Nacional de Personas Sancionadas en Materia de Violencia Política contra las Mujeres </w:t>
      </w:r>
      <w:proofErr w:type="gramStart"/>
      <w:r w:rsidR="004A4887" w:rsidRPr="00616A4E">
        <w:rPr>
          <w:rFonts w:ascii="Trebuchet MS" w:hAnsi="Trebuchet MS" w:cstheme="majorHAnsi"/>
          <w:sz w:val="24"/>
          <w:szCs w:val="24"/>
        </w:rPr>
        <w:t>en Razón de</w:t>
      </w:r>
      <w:proofErr w:type="gramEnd"/>
      <w:r w:rsidR="004A4887" w:rsidRPr="00616A4E">
        <w:rPr>
          <w:rFonts w:ascii="Trebuchet MS" w:hAnsi="Trebuchet MS" w:cstheme="majorHAnsi"/>
          <w:sz w:val="24"/>
          <w:szCs w:val="24"/>
        </w:rPr>
        <w:t xml:space="preserve"> Género</w:t>
      </w:r>
      <w:r w:rsidR="00A4475E">
        <w:rPr>
          <w:rFonts w:ascii="Trebuchet MS" w:hAnsi="Trebuchet MS" w:cstheme="majorHAnsi"/>
          <w:sz w:val="24"/>
          <w:szCs w:val="24"/>
        </w:rPr>
        <w:t xml:space="preserve"> a una persona, a saber, e</w:t>
      </w:r>
      <w:r w:rsidR="00602DEE" w:rsidRPr="00616A4E">
        <w:rPr>
          <w:rFonts w:ascii="Trebuchet MS" w:hAnsi="Trebuchet MS" w:cstheme="majorHAnsi"/>
          <w:sz w:val="24"/>
          <w:szCs w:val="24"/>
        </w:rPr>
        <w:t>l</w:t>
      </w:r>
      <w:r w:rsidR="00B22A95" w:rsidRPr="00616A4E">
        <w:rPr>
          <w:rFonts w:ascii="Trebuchet MS" w:hAnsi="Trebuchet MS" w:cstheme="majorHAnsi"/>
          <w:sz w:val="24"/>
          <w:szCs w:val="24"/>
        </w:rPr>
        <w:t xml:space="preserve"> ciudadano</w:t>
      </w:r>
      <w:r w:rsidR="004A4887" w:rsidRPr="00616A4E">
        <w:rPr>
          <w:rFonts w:ascii="Trebuchet MS" w:hAnsi="Trebuchet MS" w:cstheme="majorHAnsi"/>
          <w:sz w:val="24"/>
          <w:szCs w:val="24"/>
        </w:rPr>
        <w:t xml:space="preserve"> Alfredo Pérez Herrera</w:t>
      </w:r>
      <w:r w:rsidR="00A4475E">
        <w:rPr>
          <w:rFonts w:ascii="Trebuchet MS" w:hAnsi="Trebuchet MS" w:cstheme="majorHAnsi"/>
          <w:sz w:val="24"/>
          <w:szCs w:val="24"/>
        </w:rPr>
        <w:t>,</w:t>
      </w:r>
      <w:r w:rsidR="004A4887" w:rsidRPr="00616A4E" w:rsidDel="00CC57E9">
        <w:rPr>
          <w:rFonts w:ascii="Trebuchet MS" w:hAnsi="Trebuchet MS" w:cstheme="majorHAnsi"/>
          <w:sz w:val="24"/>
          <w:szCs w:val="24"/>
        </w:rPr>
        <w:t xml:space="preserve"> </w:t>
      </w:r>
      <w:r w:rsidR="004A4887" w:rsidRPr="00616A4E">
        <w:rPr>
          <w:rFonts w:ascii="Trebuchet MS" w:hAnsi="Trebuchet MS" w:cstheme="majorHAnsi"/>
          <w:sz w:val="24"/>
          <w:szCs w:val="24"/>
        </w:rPr>
        <w:t>en su calid</w:t>
      </w:r>
      <w:r w:rsidR="00B22A95" w:rsidRPr="00616A4E">
        <w:rPr>
          <w:rFonts w:ascii="Trebuchet MS" w:hAnsi="Trebuchet MS" w:cstheme="majorHAnsi"/>
          <w:sz w:val="24"/>
          <w:szCs w:val="24"/>
        </w:rPr>
        <w:t xml:space="preserve">ad de </w:t>
      </w:r>
      <w:r w:rsidR="0091132D" w:rsidRPr="00616A4E">
        <w:rPr>
          <w:rFonts w:ascii="Trebuchet MS" w:hAnsi="Trebuchet MS" w:cstheme="majorHAnsi"/>
          <w:sz w:val="24"/>
          <w:szCs w:val="24"/>
        </w:rPr>
        <w:t>d</w:t>
      </w:r>
      <w:r w:rsidR="00B22A95" w:rsidRPr="00616A4E">
        <w:rPr>
          <w:rFonts w:ascii="Trebuchet MS" w:hAnsi="Trebuchet MS" w:cstheme="majorHAnsi"/>
          <w:sz w:val="24"/>
          <w:szCs w:val="24"/>
        </w:rPr>
        <w:t>irector propietario del medio de comunicación con denominación</w:t>
      </w:r>
      <w:r w:rsidR="00602DEE" w:rsidRPr="00616A4E">
        <w:rPr>
          <w:rFonts w:ascii="Trebuchet MS" w:hAnsi="Trebuchet MS" w:cstheme="majorHAnsi"/>
          <w:sz w:val="24"/>
          <w:szCs w:val="24"/>
        </w:rPr>
        <w:t xml:space="preserve"> “La Voz del Sur de Jalisco” en cumplimiento de la sentencia </w:t>
      </w:r>
      <w:r w:rsidR="00602DEE" w:rsidRPr="00616A4E">
        <w:rPr>
          <w:rFonts w:ascii="Trebuchet MS" w:hAnsi="Trebuchet MS" w:cstheme="majorHAnsi"/>
          <w:b/>
          <w:sz w:val="24"/>
          <w:szCs w:val="24"/>
        </w:rPr>
        <w:t>PSE-TEJ-008/2021 y su acumulado PSE-TEJ-009/2021.</w:t>
      </w:r>
    </w:p>
    <w:p w14:paraId="5714F669" w14:textId="77777777" w:rsidR="0091132D" w:rsidRPr="00616A4E" w:rsidRDefault="0091132D" w:rsidP="004B3EC5">
      <w:pPr>
        <w:spacing w:line="276" w:lineRule="auto"/>
        <w:jc w:val="both"/>
        <w:rPr>
          <w:rFonts w:ascii="Trebuchet MS" w:hAnsi="Trebuchet MS" w:cstheme="majorHAnsi"/>
          <w:sz w:val="24"/>
          <w:szCs w:val="24"/>
        </w:rPr>
      </w:pPr>
    </w:p>
    <w:p w14:paraId="2F70CCD8" w14:textId="649A954F" w:rsidR="0091132D" w:rsidRPr="00616A4E" w:rsidRDefault="0091132D" w:rsidP="0091132D">
      <w:pPr>
        <w:jc w:val="center"/>
        <w:rPr>
          <w:rFonts w:ascii="Trebuchet MS" w:hAnsi="Trebuchet MS" w:cstheme="majorHAnsi"/>
          <w:b/>
          <w:bCs/>
          <w:sz w:val="24"/>
          <w:szCs w:val="24"/>
        </w:rPr>
      </w:pPr>
      <w:r w:rsidRPr="00616A4E">
        <w:rPr>
          <w:rFonts w:ascii="Trebuchet MS" w:hAnsi="Trebuchet MS" w:cstheme="majorHAnsi"/>
          <w:b/>
          <w:bCs/>
          <w:sz w:val="24"/>
          <w:szCs w:val="24"/>
        </w:rPr>
        <w:t>Guadalajara, Jalisco</w:t>
      </w:r>
      <w:r w:rsidR="00616A4E">
        <w:rPr>
          <w:rFonts w:ascii="Trebuchet MS" w:hAnsi="Trebuchet MS" w:cstheme="majorHAnsi"/>
          <w:b/>
          <w:bCs/>
          <w:sz w:val="24"/>
          <w:szCs w:val="24"/>
        </w:rPr>
        <w:t>; a</w:t>
      </w:r>
      <w:r w:rsidRPr="00616A4E">
        <w:rPr>
          <w:rFonts w:ascii="Trebuchet MS" w:hAnsi="Trebuchet MS" w:cstheme="majorHAnsi"/>
          <w:b/>
          <w:bCs/>
          <w:sz w:val="24"/>
          <w:szCs w:val="24"/>
        </w:rPr>
        <w:t xml:space="preserve"> </w:t>
      </w:r>
      <w:r w:rsidR="00A3772F">
        <w:rPr>
          <w:rFonts w:ascii="Trebuchet MS" w:hAnsi="Trebuchet MS" w:cstheme="majorHAnsi"/>
          <w:b/>
          <w:bCs/>
          <w:sz w:val="24"/>
          <w:szCs w:val="24"/>
        </w:rPr>
        <w:t xml:space="preserve">1º </w:t>
      </w:r>
      <w:r w:rsidRPr="00616A4E">
        <w:rPr>
          <w:rFonts w:ascii="Trebuchet MS" w:hAnsi="Trebuchet MS" w:cstheme="majorHAnsi"/>
          <w:b/>
          <w:bCs/>
          <w:sz w:val="24"/>
          <w:szCs w:val="24"/>
        </w:rPr>
        <w:t>de ju</w:t>
      </w:r>
      <w:r w:rsidR="00A3772F">
        <w:rPr>
          <w:rFonts w:ascii="Trebuchet MS" w:hAnsi="Trebuchet MS" w:cstheme="majorHAnsi"/>
          <w:b/>
          <w:bCs/>
          <w:sz w:val="24"/>
          <w:szCs w:val="24"/>
        </w:rPr>
        <w:t>l</w:t>
      </w:r>
      <w:r w:rsidRPr="00616A4E">
        <w:rPr>
          <w:rFonts w:ascii="Trebuchet MS" w:hAnsi="Trebuchet MS" w:cstheme="majorHAnsi"/>
          <w:b/>
          <w:bCs/>
          <w:sz w:val="24"/>
          <w:szCs w:val="24"/>
        </w:rPr>
        <w:t>io de 2021.</w:t>
      </w:r>
    </w:p>
    <w:p w14:paraId="156F55A9" w14:textId="77777777" w:rsidR="0091132D" w:rsidRPr="00616A4E" w:rsidRDefault="0091132D" w:rsidP="0091132D">
      <w:pPr>
        <w:jc w:val="center"/>
        <w:rPr>
          <w:rFonts w:ascii="Trebuchet MS" w:hAnsi="Trebuchet MS" w:cstheme="majorHAnsi"/>
          <w:b/>
          <w:bCs/>
          <w:sz w:val="24"/>
          <w:szCs w:val="24"/>
        </w:rPr>
      </w:pPr>
    </w:p>
    <w:p w14:paraId="6B35EA0A" w14:textId="77777777" w:rsidR="0091132D" w:rsidRPr="00616A4E" w:rsidRDefault="0091132D" w:rsidP="0091132D">
      <w:pPr>
        <w:jc w:val="center"/>
        <w:rPr>
          <w:rFonts w:ascii="Trebuchet MS" w:hAnsi="Trebuchet MS" w:cstheme="majorHAnsi"/>
          <w:b/>
          <w:bCs/>
          <w:sz w:val="24"/>
          <w:szCs w:val="24"/>
        </w:rPr>
      </w:pPr>
    </w:p>
    <w:p w14:paraId="0E6083F0" w14:textId="77777777" w:rsidR="0091132D" w:rsidRPr="00616A4E" w:rsidRDefault="0091132D" w:rsidP="0091132D">
      <w:pPr>
        <w:jc w:val="center"/>
        <w:rPr>
          <w:rFonts w:ascii="Trebuchet MS" w:hAnsi="Trebuchet MS" w:cstheme="majorHAnsi"/>
          <w:b/>
          <w:bCs/>
          <w:sz w:val="24"/>
          <w:szCs w:val="24"/>
        </w:rPr>
      </w:pPr>
      <w:r w:rsidRPr="00616A4E">
        <w:rPr>
          <w:rFonts w:ascii="Trebuchet MS" w:hAnsi="Trebuchet MS" w:cstheme="majorHAnsi"/>
          <w:b/>
          <w:bCs/>
          <w:sz w:val="24"/>
          <w:szCs w:val="24"/>
        </w:rPr>
        <w:t>Zoad Jeanine García González</w:t>
      </w:r>
    </w:p>
    <w:p w14:paraId="27B23CDF" w14:textId="3503D82A" w:rsidR="0091132D" w:rsidRPr="00616A4E" w:rsidRDefault="0091132D" w:rsidP="0091132D">
      <w:pPr>
        <w:spacing w:after="0" w:line="240" w:lineRule="auto"/>
        <w:jc w:val="center"/>
        <w:rPr>
          <w:rFonts w:ascii="Trebuchet MS" w:hAnsi="Trebuchet MS" w:cstheme="majorHAnsi"/>
          <w:b/>
          <w:bCs/>
          <w:sz w:val="24"/>
          <w:szCs w:val="24"/>
        </w:rPr>
      </w:pPr>
      <w:r w:rsidRPr="00616A4E">
        <w:rPr>
          <w:rFonts w:ascii="Trebuchet MS" w:hAnsi="Trebuchet MS" w:cstheme="majorHAnsi"/>
          <w:b/>
          <w:bCs/>
          <w:sz w:val="24"/>
          <w:szCs w:val="24"/>
        </w:rPr>
        <w:t>Consejera Electoral y</w:t>
      </w:r>
    </w:p>
    <w:p w14:paraId="5E2403C2" w14:textId="7BD5F0B4" w:rsidR="00B3677D" w:rsidRPr="00616A4E" w:rsidRDefault="0091132D" w:rsidP="0091132D">
      <w:pPr>
        <w:spacing w:line="276" w:lineRule="auto"/>
        <w:jc w:val="center"/>
        <w:rPr>
          <w:rFonts w:ascii="Trebuchet MS" w:hAnsi="Trebuchet MS" w:cstheme="majorHAnsi"/>
          <w:b/>
          <w:bCs/>
          <w:sz w:val="24"/>
          <w:szCs w:val="24"/>
        </w:rPr>
      </w:pPr>
      <w:r w:rsidRPr="00616A4E">
        <w:rPr>
          <w:rFonts w:ascii="Trebuchet MS" w:hAnsi="Trebuchet MS" w:cstheme="majorHAnsi"/>
          <w:b/>
          <w:bCs/>
          <w:sz w:val="24"/>
          <w:szCs w:val="24"/>
        </w:rPr>
        <w:t>Presidenta de la Comisión de Igualdad de Género y No Discriminación</w:t>
      </w:r>
    </w:p>
    <w:sectPr w:rsidR="00B3677D" w:rsidRPr="00616A4E" w:rsidSect="006525CA">
      <w:headerReference w:type="default" r:id="rId9"/>
      <w:footerReference w:type="default" r:id="rId10"/>
      <w:pgSz w:w="12240" w:h="15840"/>
      <w:pgMar w:top="284"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4FB09" w14:textId="77777777" w:rsidR="00505CD5" w:rsidRDefault="00505CD5" w:rsidP="004C755D">
      <w:pPr>
        <w:spacing w:after="0" w:line="240" w:lineRule="auto"/>
      </w:pPr>
      <w:r>
        <w:separator/>
      </w:r>
    </w:p>
  </w:endnote>
  <w:endnote w:type="continuationSeparator" w:id="0">
    <w:p w14:paraId="4F5C11F2" w14:textId="77777777" w:rsidR="00505CD5" w:rsidRDefault="00505CD5" w:rsidP="004C7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23530"/>
      <w:docPartObj>
        <w:docPartGallery w:val="Page Numbers (Bottom of Page)"/>
        <w:docPartUnique/>
      </w:docPartObj>
    </w:sdtPr>
    <w:sdtEndPr/>
    <w:sdtContent>
      <w:p w14:paraId="24287311" w14:textId="77777777" w:rsidR="004C75C3" w:rsidRDefault="004C75C3">
        <w:pPr>
          <w:pStyle w:val="Piedepgina"/>
          <w:jc w:val="right"/>
        </w:pPr>
        <w:r>
          <w:fldChar w:fldCharType="begin"/>
        </w:r>
        <w:r>
          <w:instrText>PAGE   \* MERGEFORMAT</w:instrText>
        </w:r>
        <w:r>
          <w:fldChar w:fldCharType="separate"/>
        </w:r>
        <w:r w:rsidR="00B91E17" w:rsidRPr="00B91E17">
          <w:rPr>
            <w:noProof/>
            <w:lang w:val="es-ES"/>
          </w:rPr>
          <w:t>3</w:t>
        </w:r>
        <w:r>
          <w:fldChar w:fldCharType="end"/>
        </w:r>
      </w:p>
    </w:sdtContent>
  </w:sdt>
  <w:p w14:paraId="3ED327EC" w14:textId="77777777" w:rsidR="002042E9" w:rsidRPr="002042E9" w:rsidRDefault="002042E9">
    <w:pPr>
      <w:pStyle w:val="Piedepgina"/>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67DE3" w14:textId="77777777" w:rsidR="00505CD5" w:rsidRDefault="00505CD5" w:rsidP="004C755D">
      <w:pPr>
        <w:spacing w:after="0" w:line="240" w:lineRule="auto"/>
      </w:pPr>
      <w:r>
        <w:separator/>
      </w:r>
    </w:p>
  </w:footnote>
  <w:footnote w:type="continuationSeparator" w:id="0">
    <w:p w14:paraId="49F95A75" w14:textId="77777777" w:rsidR="00505CD5" w:rsidRDefault="00505CD5" w:rsidP="004C7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F06B" w14:textId="77777777" w:rsidR="004C75C3" w:rsidRDefault="004C75C3" w:rsidP="004C75C3">
    <w:pPr>
      <w:pStyle w:val="Encabezado"/>
      <w:jc w:val="center"/>
    </w:pPr>
  </w:p>
  <w:p w14:paraId="1FAC0C58" w14:textId="77777777" w:rsidR="004C755D" w:rsidRPr="004C755D" w:rsidRDefault="004C755D" w:rsidP="004C755D">
    <w:pPr>
      <w:pStyle w:val="Encabezado"/>
      <w:tabs>
        <w:tab w:val="clear" w:pos="4419"/>
        <w:tab w:val="clear" w:pos="8838"/>
        <w:tab w:val="left" w:pos="5440"/>
      </w:tabs>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156A4"/>
    <w:multiLevelType w:val="hybridMultilevel"/>
    <w:tmpl w:val="6C32574E"/>
    <w:lvl w:ilvl="0" w:tplc="42647EC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AF43EE5"/>
    <w:multiLevelType w:val="hybridMultilevel"/>
    <w:tmpl w:val="D82EEFDC"/>
    <w:lvl w:ilvl="0" w:tplc="7032D24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BD24454"/>
    <w:multiLevelType w:val="hybridMultilevel"/>
    <w:tmpl w:val="BE80E534"/>
    <w:lvl w:ilvl="0" w:tplc="9F66A1E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3F3643F0"/>
    <w:multiLevelType w:val="hybridMultilevel"/>
    <w:tmpl w:val="710C74D8"/>
    <w:lvl w:ilvl="0" w:tplc="151EA14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F160FF"/>
    <w:multiLevelType w:val="hybridMultilevel"/>
    <w:tmpl w:val="9A4604D2"/>
    <w:lvl w:ilvl="0" w:tplc="FFDE6A9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EAD00FF"/>
    <w:multiLevelType w:val="hybridMultilevel"/>
    <w:tmpl w:val="1952BFE6"/>
    <w:lvl w:ilvl="0" w:tplc="319207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ED61D2B"/>
    <w:multiLevelType w:val="hybridMultilevel"/>
    <w:tmpl w:val="E636335E"/>
    <w:lvl w:ilvl="0" w:tplc="98EE782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6C0B3A5F"/>
    <w:multiLevelType w:val="hybridMultilevel"/>
    <w:tmpl w:val="B0C63F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8534FC1"/>
    <w:multiLevelType w:val="hybridMultilevel"/>
    <w:tmpl w:val="2EDAD33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7"/>
  </w:num>
  <w:num w:numId="2">
    <w:abstractNumId w:val="2"/>
  </w:num>
  <w:num w:numId="3">
    <w:abstractNumId w:val="0"/>
  </w:num>
  <w:num w:numId="4">
    <w:abstractNumId w:val="4"/>
  </w:num>
  <w:num w:numId="5">
    <w:abstractNumId w:val="6"/>
  </w:num>
  <w:num w:numId="6">
    <w:abstractNumId w:val="5"/>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DD"/>
    <w:rsid w:val="00032B13"/>
    <w:rsid w:val="0004041A"/>
    <w:rsid w:val="00044D28"/>
    <w:rsid w:val="000735E1"/>
    <w:rsid w:val="00083676"/>
    <w:rsid w:val="000926E0"/>
    <w:rsid w:val="00093B2E"/>
    <w:rsid w:val="00093E30"/>
    <w:rsid w:val="00094268"/>
    <w:rsid w:val="00094339"/>
    <w:rsid w:val="000B2AFF"/>
    <w:rsid w:val="000B2D11"/>
    <w:rsid w:val="0012229F"/>
    <w:rsid w:val="0014496A"/>
    <w:rsid w:val="0014565C"/>
    <w:rsid w:val="00155C75"/>
    <w:rsid w:val="00156AAC"/>
    <w:rsid w:val="001672C8"/>
    <w:rsid w:val="00195A03"/>
    <w:rsid w:val="001A4DCD"/>
    <w:rsid w:val="001A66A2"/>
    <w:rsid w:val="001B1D75"/>
    <w:rsid w:val="001B4C0D"/>
    <w:rsid w:val="001C4FF5"/>
    <w:rsid w:val="001E1231"/>
    <w:rsid w:val="001E3994"/>
    <w:rsid w:val="001F2095"/>
    <w:rsid w:val="001F3FB0"/>
    <w:rsid w:val="001F5EBC"/>
    <w:rsid w:val="00203705"/>
    <w:rsid w:val="002042E9"/>
    <w:rsid w:val="002067B4"/>
    <w:rsid w:val="002133C7"/>
    <w:rsid w:val="002176DE"/>
    <w:rsid w:val="002210E2"/>
    <w:rsid w:val="0022550C"/>
    <w:rsid w:val="00226087"/>
    <w:rsid w:val="002418EA"/>
    <w:rsid w:val="002447B1"/>
    <w:rsid w:val="0026210C"/>
    <w:rsid w:val="00287608"/>
    <w:rsid w:val="002B16EB"/>
    <w:rsid w:val="002B527D"/>
    <w:rsid w:val="002B7E86"/>
    <w:rsid w:val="002D7BE3"/>
    <w:rsid w:val="002E37EB"/>
    <w:rsid w:val="00310ADB"/>
    <w:rsid w:val="00315670"/>
    <w:rsid w:val="00342D7B"/>
    <w:rsid w:val="003527AB"/>
    <w:rsid w:val="003728D3"/>
    <w:rsid w:val="003C299A"/>
    <w:rsid w:val="003C452F"/>
    <w:rsid w:val="003E567D"/>
    <w:rsid w:val="00400E24"/>
    <w:rsid w:val="004101CA"/>
    <w:rsid w:val="00425BF0"/>
    <w:rsid w:val="0044272C"/>
    <w:rsid w:val="00443527"/>
    <w:rsid w:val="00474997"/>
    <w:rsid w:val="004811DE"/>
    <w:rsid w:val="004A1524"/>
    <w:rsid w:val="004A4887"/>
    <w:rsid w:val="004B3EC5"/>
    <w:rsid w:val="004C285D"/>
    <w:rsid w:val="004C755D"/>
    <w:rsid w:val="004C75C3"/>
    <w:rsid w:val="004C76D8"/>
    <w:rsid w:val="004D7745"/>
    <w:rsid w:val="004E32D1"/>
    <w:rsid w:val="004E5EEA"/>
    <w:rsid w:val="00505CD5"/>
    <w:rsid w:val="00513348"/>
    <w:rsid w:val="00521B09"/>
    <w:rsid w:val="005235DD"/>
    <w:rsid w:val="00525CFF"/>
    <w:rsid w:val="0058131C"/>
    <w:rsid w:val="00595B3D"/>
    <w:rsid w:val="005A5CAF"/>
    <w:rsid w:val="005A7DB6"/>
    <w:rsid w:val="005C0899"/>
    <w:rsid w:val="00601295"/>
    <w:rsid w:val="00602DEE"/>
    <w:rsid w:val="006113D0"/>
    <w:rsid w:val="00616A4E"/>
    <w:rsid w:val="00631465"/>
    <w:rsid w:val="0063326A"/>
    <w:rsid w:val="00641A78"/>
    <w:rsid w:val="006525CA"/>
    <w:rsid w:val="00653D64"/>
    <w:rsid w:val="006812BA"/>
    <w:rsid w:val="00681D0C"/>
    <w:rsid w:val="006A4110"/>
    <w:rsid w:val="006A6790"/>
    <w:rsid w:val="006E4D91"/>
    <w:rsid w:val="00713B24"/>
    <w:rsid w:val="00717ADF"/>
    <w:rsid w:val="007217FE"/>
    <w:rsid w:val="00750187"/>
    <w:rsid w:val="00750C5B"/>
    <w:rsid w:val="00755414"/>
    <w:rsid w:val="00763B39"/>
    <w:rsid w:val="00770EE9"/>
    <w:rsid w:val="00776E9E"/>
    <w:rsid w:val="007803AA"/>
    <w:rsid w:val="007812E0"/>
    <w:rsid w:val="007933AB"/>
    <w:rsid w:val="007C0E41"/>
    <w:rsid w:val="007C1920"/>
    <w:rsid w:val="007C7B86"/>
    <w:rsid w:val="00802142"/>
    <w:rsid w:val="00871B21"/>
    <w:rsid w:val="00871EAB"/>
    <w:rsid w:val="00886DB9"/>
    <w:rsid w:val="008A562B"/>
    <w:rsid w:val="0091132D"/>
    <w:rsid w:val="009279D7"/>
    <w:rsid w:val="00934864"/>
    <w:rsid w:val="00936D31"/>
    <w:rsid w:val="00980C19"/>
    <w:rsid w:val="00997F37"/>
    <w:rsid w:val="009A26FC"/>
    <w:rsid w:val="009B7FD4"/>
    <w:rsid w:val="009D15BA"/>
    <w:rsid w:val="009E2E4B"/>
    <w:rsid w:val="00A3764B"/>
    <w:rsid w:val="00A3772F"/>
    <w:rsid w:val="00A4475E"/>
    <w:rsid w:val="00A60655"/>
    <w:rsid w:val="00A60710"/>
    <w:rsid w:val="00A72642"/>
    <w:rsid w:val="00AC2456"/>
    <w:rsid w:val="00B22A95"/>
    <w:rsid w:val="00B3677D"/>
    <w:rsid w:val="00B466AA"/>
    <w:rsid w:val="00B46A54"/>
    <w:rsid w:val="00B531AA"/>
    <w:rsid w:val="00B5518A"/>
    <w:rsid w:val="00B7173C"/>
    <w:rsid w:val="00B77F22"/>
    <w:rsid w:val="00B91E17"/>
    <w:rsid w:val="00B93CF6"/>
    <w:rsid w:val="00B9584B"/>
    <w:rsid w:val="00B9667A"/>
    <w:rsid w:val="00BA186A"/>
    <w:rsid w:val="00BA5105"/>
    <w:rsid w:val="00BD496E"/>
    <w:rsid w:val="00BD6AAE"/>
    <w:rsid w:val="00BE2798"/>
    <w:rsid w:val="00C1492D"/>
    <w:rsid w:val="00C15F84"/>
    <w:rsid w:val="00C2111F"/>
    <w:rsid w:val="00C27EDC"/>
    <w:rsid w:val="00C320BC"/>
    <w:rsid w:val="00C3733C"/>
    <w:rsid w:val="00C378DD"/>
    <w:rsid w:val="00C402CD"/>
    <w:rsid w:val="00C44576"/>
    <w:rsid w:val="00C52791"/>
    <w:rsid w:val="00C9188A"/>
    <w:rsid w:val="00C97D9A"/>
    <w:rsid w:val="00CB0A10"/>
    <w:rsid w:val="00CB263F"/>
    <w:rsid w:val="00CC5259"/>
    <w:rsid w:val="00CD140C"/>
    <w:rsid w:val="00CD21DF"/>
    <w:rsid w:val="00CF3764"/>
    <w:rsid w:val="00CF52BB"/>
    <w:rsid w:val="00D17743"/>
    <w:rsid w:val="00D826F4"/>
    <w:rsid w:val="00D87C34"/>
    <w:rsid w:val="00D94543"/>
    <w:rsid w:val="00D95B7D"/>
    <w:rsid w:val="00DB6839"/>
    <w:rsid w:val="00DE25C2"/>
    <w:rsid w:val="00E24769"/>
    <w:rsid w:val="00E355FB"/>
    <w:rsid w:val="00E4112D"/>
    <w:rsid w:val="00E479B3"/>
    <w:rsid w:val="00E7452A"/>
    <w:rsid w:val="00EA1EFE"/>
    <w:rsid w:val="00EB07AC"/>
    <w:rsid w:val="00EC10B6"/>
    <w:rsid w:val="00EC68B0"/>
    <w:rsid w:val="00EE4737"/>
    <w:rsid w:val="00EE53F0"/>
    <w:rsid w:val="00EF3202"/>
    <w:rsid w:val="00F132CC"/>
    <w:rsid w:val="00F13F85"/>
    <w:rsid w:val="00F14BEB"/>
    <w:rsid w:val="00F42F51"/>
    <w:rsid w:val="00F63196"/>
    <w:rsid w:val="00F77074"/>
    <w:rsid w:val="00F93549"/>
    <w:rsid w:val="00FB67AF"/>
    <w:rsid w:val="00FD524C"/>
    <w:rsid w:val="00FE4DAC"/>
    <w:rsid w:val="00FE53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E79A2"/>
  <w15:docId w15:val="{8AA9C3A6-65D2-4692-9919-6B9154ED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35DD"/>
    <w:pPr>
      <w:ind w:left="720"/>
      <w:contextualSpacing/>
    </w:pPr>
  </w:style>
  <w:style w:type="paragraph" w:styleId="Encabezado">
    <w:name w:val="header"/>
    <w:basedOn w:val="Normal"/>
    <w:link w:val="EncabezadoCar"/>
    <w:uiPriority w:val="99"/>
    <w:unhideWhenUsed/>
    <w:rsid w:val="004C75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755D"/>
  </w:style>
  <w:style w:type="paragraph" w:styleId="Piedepgina">
    <w:name w:val="footer"/>
    <w:basedOn w:val="Normal"/>
    <w:link w:val="PiedepginaCar"/>
    <w:uiPriority w:val="99"/>
    <w:unhideWhenUsed/>
    <w:rsid w:val="004C75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755D"/>
  </w:style>
  <w:style w:type="paragraph" w:styleId="Textonotapie">
    <w:name w:val="footnote text"/>
    <w:basedOn w:val="Normal"/>
    <w:link w:val="TextonotapieCar"/>
    <w:uiPriority w:val="99"/>
    <w:semiHidden/>
    <w:unhideWhenUsed/>
    <w:rsid w:val="00093B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3B2E"/>
    <w:rPr>
      <w:sz w:val="20"/>
      <w:szCs w:val="20"/>
    </w:rPr>
  </w:style>
  <w:style w:type="character" w:styleId="Refdenotaalpie">
    <w:name w:val="footnote reference"/>
    <w:basedOn w:val="Fuentedeprrafopredeter"/>
    <w:uiPriority w:val="99"/>
    <w:semiHidden/>
    <w:unhideWhenUsed/>
    <w:rsid w:val="00093B2E"/>
    <w:rPr>
      <w:vertAlign w:val="superscript"/>
    </w:rPr>
  </w:style>
  <w:style w:type="character" w:styleId="Refdecomentario">
    <w:name w:val="annotation reference"/>
    <w:basedOn w:val="Fuentedeprrafopredeter"/>
    <w:uiPriority w:val="99"/>
    <w:semiHidden/>
    <w:unhideWhenUsed/>
    <w:rsid w:val="0012229F"/>
    <w:rPr>
      <w:sz w:val="16"/>
      <w:szCs w:val="16"/>
    </w:rPr>
  </w:style>
  <w:style w:type="paragraph" w:styleId="Textocomentario">
    <w:name w:val="annotation text"/>
    <w:basedOn w:val="Normal"/>
    <w:link w:val="TextocomentarioCar"/>
    <w:uiPriority w:val="99"/>
    <w:semiHidden/>
    <w:unhideWhenUsed/>
    <w:rsid w:val="001222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229F"/>
    <w:rPr>
      <w:sz w:val="20"/>
      <w:szCs w:val="20"/>
    </w:rPr>
  </w:style>
  <w:style w:type="paragraph" w:styleId="Asuntodelcomentario">
    <w:name w:val="annotation subject"/>
    <w:basedOn w:val="Textocomentario"/>
    <w:next w:val="Textocomentario"/>
    <w:link w:val="AsuntodelcomentarioCar"/>
    <w:uiPriority w:val="99"/>
    <w:semiHidden/>
    <w:unhideWhenUsed/>
    <w:rsid w:val="0012229F"/>
    <w:rPr>
      <w:b/>
      <w:bCs/>
    </w:rPr>
  </w:style>
  <w:style w:type="character" w:customStyle="1" w:styleId="AsuntodelcomentarioCar">
    <w:name w:val="Asunto del comentario Car"/>
    <w:basedOn w:val="TextocomentarioCar"/>
    <w:link w:val="Asuntodelcomentario"/>
    <w:uiPriority w:val="99"/>
    <w:semiHidden/>
    <w:rsid w:val="0012229F"/>
    <w:rPr>
      <w:b/>
      <w:bCs/>
      <w:sz w:val="20"/>
      <w:szCs w:val="20"/>
    </w:rPr>
  </w:style>
  <w:style w:type="paragraph" w:styleId="Textodeglobo">
    <w:name w:val="Balloon Text"/>
    <w:basedOn w:val="Normal"/>
    <w:link w:val="TextodegloboCar"/>
    <w:uiPriority w:val="99"/>
    <w:semiHidden/>
    <w:unhideWhenUsed/>
    <w:rsid w:val="001222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229F"/>
    <w:rPr>
      <w:rFonts w:ascii="Segoe UI" w:hAnsi="Segoe UI" w:cs="Segoe UI"/>
      <w:sz w:val="18"/>
      <w:szCs w:val="18"/>
    </w:rPr>
  </w:style>
  <w:style w:type="paragraph" w:styleId="Sinespaciado">
    <w:name w:val="No Spacing"/>
    <w:uiPriority w:val="1"/>
    <w:qFormat/>
    <w:rsid w:val="001E39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94951">
      <w:bodyDiv w:val="1"/>
      <w:marLeft w:val="0"/>
      <w:marRight w:val="0"/>
      <w:marTop w:val="0"/>
      <w:marBottom w:val="0"/>
      <w:divBdr>
        <w:top w:val="none" w:sz="0" w:space="0" w:color="auto"/>
        <w:left w:val="none" w:sz="0" w:space="0" w:color="auto"/>
        <w:bottom w:val="none" w:sz="0" w:space="0" w:color="auto"/>
        <w:right w:val="none" w:sz="0" w:space="0" w:color="auto"/>
      </w:divBdr>
    </w:div>
    <w:div w:id="140389621">
      <w:bodyDiv w:val="1"/>
      <w:marLeft w:val="0"/>
      <w:marRight w:val="0"/>
      <w:marTop w:val="0"/>
      <w:marBottom w:val="0"/>
      <w:divBdr>
        <w:top w:val="none" w:sz="0" w:space="0" w:color="auto"/>
        <w:left w:val="none" w:sz="0" w:space="0" w:color="auto"/>
        <w:bottom w:val="none" w:sz="0" w:space="0" w:color="auto"/>
        <w:right w:val="none" w:sz="0" w:space="0" w:color="auto"/>
      </w:divBdr>
    </w:div>
    <w:div w:id="193932221">
      <w:bodyDiv w:val="1"/>
      <w:marLeft w:val="0"/>
      <w:marRight w:val="0"/>
      <w:marTop w:val="0"/>
      <w:marBottom w:val="0"/>
      <w:divBdr>
        <w:top w:val="none" w:sz="0" w:space="0" w:color="auto"/>
        <w:left w:val="none" w:sz="0" w:space="0" w:color="auto"/>
        <w:bottom w:val="none" w:sz="0" w:space="0" w:color="auto"/>
        <w:right w:val="none" w:sz="0" w:space="0" w:color="auto"/>
      </w:divBdr>
    </w:div>
    <w:div w:id="203712276">
      <w:bodyDiv w:val="1"/>
      <w:marLeft w:val="0"/>
      <w:marRight w:val="0"/>
      <w:marTop w:val="0"/>
      <w:marBottom w:val="0"/>
      <w:divBdr>
        <w:top w:val="none" w:sz="0" w:space="0" w:color="auto"/>
        <w:left w:val="none" w:sz="0" w:space="0" w:color="auto"/>
        <w:bottom w:val="none" w:sz="0" w:space="0" w:color="auto"/>
        <w:right w:val="none" w:sz="0" w:space="0" w:color="auto"/>
      </w:divBdr>
    </w:div>
    <w:div w:id="688070953">
      <w:bodyDiv w:val="1"/>
      <w:marLeft w:val="0"/>
      <w:marRight w:val="0"/>
      <w:marTop w:val="0"/>
      <w:marBottom w:val="0"/>
      <w:divBdr>
        <w:top w:val="none" w:sz="0" w:space="0" w:color="auto"/>
        <w:left w:val="none" w:sz="0" w:space="0" w:color="auto"/>
        <w:bottom w:val="none" w:sz="0" w:space="0" w:color="auto"/>
        <w:right w:val="none" w:sz="0" w:space="0" w:color="auto"/>
      </w:divBdr>
    </w:div>
    <w:div w:id="799961580">
      <w:bodyDiv w:val="1"/>
      <w:marLeft w:val="0"/>
      <w:marRight w:val="0"/>
      <w:marTop w:val="0"/>
      <w:marBottom w:val="0"/>
      <w:divBdr>
        <w:top w:val="none" w:sz="0" w:space="0" w:color="auto"/>
        <w:left w:val="none" w:sz="0" w:space="0" w:color="auto"/>
        <w:bottom w:val="none" w:sz="0" w:space="0" w:color="auto"/>
        <w:right w:val="none" w:sz="0" w:space="0" w:color="auto"/>
      </w:divBdr>
    </w:div>
    <w:div w:id="1695767131">
      <w:bodyDiv w:val="1"/>
      <w:marLeft w:val="0"/>
      <w:marRight w:val="0"/>
      <w:marTop w:val="0"/>
      <w:marBottom w:val="0"/>
      <w:divBdr>
        <w:top w:val="none" w:sz="0" w:space="0" w:color="auto"/>
        <w:left w:val="none" w:sz="0" w:space="0" w:color="auto"/>
        <w:bottom w:val="none" w:sz="0" w:space="0" w:color="auto"/>
        <w:right w:val="none" w:sz="0" w:space="0" w:color="auto"/>
      </w:divBdr>
    </w:div>
    <w:div w:id="1751190965">
      <w:bodyDiv w:val="1"/>
      <w:marLeft w:val="0"/>
      <w:marRight w:val="0"/>
      <w:marTop w:val="0"/>
      <w:marBottom w:val="0"/>
      <w:divBdr>
        <w:top w:val="none" w:sz="0" w:space="0" w:color="auto"/>
        <w:left w:val="none" w:sz="0" w:space="0" w:color="auto"/>
        <w:bottom w:val="none" w:sz="0" w:space="0" w:color="auto"/>
        <w:right w:val="none" w:sz="0" w:space="0" w:color="auto"/>
      </w:divBdr>
    </w:div>
    <w:div w:id="212568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40885-217A-41F8-AA59-1C9629DA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2785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CERVANTES CASTANEDA, ANDREA CAROLINA</dc:creator>
  <cp:lastModifiedBy>KARLA ILIANA ROMERO CASTAÑEDA</cp:lastModifiedBy>
  <cp:revision>2</cp:revision>
  <cp:lastPrinted>2020-10-28T19:08:00Z</cp:lastPrinted>
  <dcterms:created xsi:type="dcterms:W3CDTF">2021-06-30T05:53:00Z</dcterms:created>
  <dcterms:modified xsi:type="dcterms:W3CDTF">2021-06-30T05:53:00Z</dcterms:modified>
</cp:coreProperties>
</file>