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4D3" w:rsidRDefault="00D904D3"/>
    <w:p w:rsidR="009C48F5" w:rsidRDefault="009C48F5"/>
    <w:p w:rsidR="00020881" w:rsidRPr="00020881" w:rsidRDefault="00020881" w:rsidP="00020881">
      <w:pPr>
        <w:keepNext/>
        <w:keepLines/>
        <w:spacing w:after="0" w:line="276" w:lineRule="auto"/>
        <w:ind w:firstLine="0"/>
        <w:outlineLvl w:val="0"/>
        <w:rPr>
          <w:rFonts w:eastAsiaTheme="majorEastAsia" w:cs="Arial"/>
          <w:b/>
          <w:bCs/>
          <w:sz w:val="26"/>
          <w:szCs w:val="26"/>
        </w:rPr>
      </w:pPr>
      <w:r w:rsidRPr="00020881">
        <w:rPr>
          <w:rFonts w:eastAsiaTheme="majorEastAsia" w:cs="Arial"/>
          <w:b/>
          <w:bCs/>
          <w:sz w:val="26"/>
          <w:szCs w:val="26"/>
        </w:rPr>
        <w:t>INFORME QUE RINDE EL CONSEJERO PRESIDENTE SOBRE LA PROPUESTA PARA LA HABILITACIÓN DE ESPACIOS PARA EL RECUENTO DE VOTOS CON LAS ALTERNATIVAS PARA TODOS LOS ESCENARIOS DE CÓMPUTO</w:t>
      </w:r>
    </w:p>
    <w:p w:rsidR="00020881" w:rsidRPr="00020881" w:rsidRDefault="00020881" w:rsidP="00020881">
      <w:pPr>
        <w:spacing w:after="200" w:line="276" w:lineRule="auto"/>
        <w:ind w:firstLine="0"/>
        <w:rPr>
          <w:rFonts w:asciiTheme="minorHAnsi" w:hAnsiTheme="minorHAnsi"/>
          <w:sz w:val="22"/>
        </w:rPr>
      </w:pPr>
    </w:p>
    <w:p w:rsidR="00020881" w:rsidRPr="00020881" w:rsidRDefault="00020881" w:rsidP="00020881">
      <w:pPr>
        <w:spacing w:after="200" w:line="276" w:lineRule="auto"/>
        <w:ind w:firstLine="0"/>
        <w:rPr>
          <w:rFonts w:cs="Arial"/>
          <w:szCs w:val="24"/>
        </w:rPr>
      </w:pPr>
      <w:r w:rsidRPr="00020881">
        <w:rPr>
          <w:rFonts w:cs="Arial"/>
          <w:szCs w:val="24"/>
        </w:rPr>
        <w:t>Con fundamento en  el artículo 10 del lineamiento de recuentos:</w:t>
      </w:r>
    </w:p>
    <w:p w:rsidR="00020881" w:rsidRPr="00020881" w:rsidRDefault="00020881" w:rsidP="00020881">
      <w:pPr>
        <w:spacing w:after="200" w:line="276" w:lineRule="auto"/>
        <w:ind w:firstLine="0"/>
        <w:rPr>
          <w:rFonts w:cs="Arial"/>
          <w:szCs w:val="24"/>
        </w:rPr>
      </w:pPr>
      <w:r w:rsidRPr="00020881">
        <w:rPr>
          <w:rFonts w:cs="Arial"/>
          <w:szCs w:val="24"/>
        </w:rPr>
        <w:t>Se determinó que el espacio apto para llevar a cabo el recuento de votos dentro de la sede del consejo distrital, esté</w:t>
      </w:r>
      <w:r>
        <w:rPr>
          <w:rFonts w:cs="Arial"/>
          <w:szCs w:val="24"/>
        </w:rPr>
        <w:t xml:space="preserve"> ubicado en área anexa al lugar que ocupa pleno</w:t>
      </w:r>
      <w:r w:rsidRPr="00020881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 (</w:t>
      </w:r>
      <w:r w:rsidR="004458D2">
        <w:rPr>
          <w:rFonts w:cs="Arial"/>
          <w:szCs w:val="24"/>
        </w:rPr>
        <w:t>6 X 30 180 mts. cuadrados</w:t>
      </w:r>
      <w:r>
        <w:rPr>
          <w:rFonts w:cs="Arial"/>
          <w:szCs w:val="24"/>
        </w:rPr>
        <w:t>.</w:t>
      </w:r>
      <w:r w:rsidRPr="00020881">
        <w:rPr>
          <w:rFonts w:cs="Arial"/>
          <w:szCs w:val="24"/>
        </w:rPr>
        <w:t>)</w:t>
      </w:r>
      <w:r>
        <w:rPr>
          <w:rFonts w:cs="Arial"/>
          <w:szCs w:val="24"/>
        </w:rPr>
        <w:t>.</w:t>
      </w:r>
    </w:p>
    <w:p w:rsidR="00020881" w:rsidRPr="00020881" w:rsidRDefault="00020881" w:rsidP="00020881">
      <w:pPr>
        <w:spacing w:after="200" w:line="276" w:lineRule="auto"/>
        <w:ind w:firstLine="0"/>
        <w:rPr>
          <w:rFonts w:cs="Arial"/>
          <w:szCs w:val="24"/>
        </w:rPr>
      </w:pPr>
      <w:r w:rsidRPr="00020881">
        <w:rPr>
          <w:rFonts w:cs="Arial"/>
          <w:szCs w:val="24"/>
        </w:rPr>
        <w:t>En un</w:t>
      </w:r>
      <w:r>
        <w:rPr>
          <w:rFonts w:cs="Arial"/>
          <w:szCs w:val="24"/>
        </w:rPr>
        <w:t xml:space="preserve"> área de 1</w:t>
      </w:r>
      <w:r w:rsidR="004458D2">
        <w:rPr>
          <w:rFonts w:cs="Arial"/>
          <w:szCs w:val="24"/>
        </w:rPr>
        <w:t>80</w:t>
      </w:r>
      <w:r>
        <w:rPr>
          <w:rFonts w:cs="Arial"/>
          <w:szCs w:val="24"/>
        </w:rPr>
        <w:t xml:space="preserve"> mts.</w:t>
      </w:r>
      <w:r w:rsidRPr="00020881">
        <w:rPr>
          <w:rFonts w:cs="Arial"/>
          <w:szCs w:val="24"/>
        </w:rPr>
        <w:t xml:space="preserve">2 </w:t>
      </w:r>
      <w:r w:rsidR="00D46357">
        <w:rPr>
          <w:rFonts w:cs="Arial"/>
          <w:szCs w:val="24"/>
        </w:rPr>
        <w:t>espacio sobrado</w:t>
      </w:r>
      <w:r w:rsidRPr="00020881">
        <w:rPr>
          <w:rFonts w:cs="Arial"/>
          <w:szCs w:val="24"/>
        </w:rPr>
        <w:t xml:space="preserve"> con lo cual  se propicia un avance favorable para concluir en el tiempo establecido por la ley.</w:t>
      </w:r>
    </w:p>
    <w:p w:rsidR="00020881" w:rsidRPr="00020881" w:rsidRDefault="00020881" w:rsidP="00020881">
      <w:pPr>
        <w:spacing w:after="200" w:line="276" w:lineRule="auto"/>
        <w:ind w:firstLine="0"/>
        <w:rPr>
          <w:rFonts w:cs="Arial"/>
          <w:szCs w:val="24"/>
        </w:rPr>
      </w:pPr>
      <w:r w:rsidRPr="00020881">
        <w:rPr>
          <w:rFonts w:cs="Arial"/>
          <w:szCs w:val="24"/>
        </w:rPr>
        <w:t xml:space="preserve">Cada </w:t>
      </w:r>
      <w:r w:rsidR="00C438FE">
        <w:rPr>
          <w:rFonts w:cs="Arial"/>
          <w:szCs w:val="24"/>
        </w:rPr>
        <w:t>grupo de trabajo (GT)</w:t>
      </w:r>
      <w:r w:rsidRPr="00020881">
        <w:rPr>
          <w:rFonts w:cs="Arial"/>
          <w:szCs w:val="24"/>
        </w:rPr>
        <w:t xml:space="preserve"> estará integra</w:t>
      </w:r>
      <w:r w:rsidR="00C438FE">
        <w:rPr>
          <w:rFonts w:cs="Arial"/>
          <w:szCs w:val="24"/>
        </w:rPr>
        <w:t xml:space="preserve">do por </w:t>
      </w:r>
      <w:r w:rsidR="00004DED">
        <w:rPr>
          <w:rFonts w:cs="Arial"/>
          <w:szCs w:val="24"/>
        </w:rPr>
        <w:t>cuatro</w:t>
      </w:r>
      <w:r w:rsidR="00C438FE">
        <w:rPr>
          <w:rFonts w:cs="Arial"/>
          <w:szCs w:val="24"/>
        </w:rPr>
        <w:t xml:space="preserve"> puntos d</w:t>
      </w:r>
      <w:r w:rsidRPr="00020881">
        <w:rPr>
          <w:rFonts w:cs="Arial"/>
          <w:szCs w:val="24"/>
        </w:rPr>
        <w:t xml:space="preserve">e </w:t>
      </w:r>
      <w:r w:rsidR="00C438FE">
        <w:rPr>
          <w:rFonts w:cs="Arial"/>
          <w:szCs w:val="24"/>
        </w:rPr>
        <w:t>recuent</w:t>
      </w:r>
      <w:r w:rsidRPr="00020881">
        <w:rPr>
          <w:rFonts w:cs="Arial"/>
          <w:szCs w:val="24"/>
        </w:rPr>
        <w:t>o</w:t>
      </w:r>
      <w:r w:rsidR="00C438FE">
        <w:rPr>
          <w:rFonts w:cs="Arial"/>
          <w:szCs w:val="24"/>
        </w:rPr>
        <w:t xml:space="preserve"> (PR)</w:t>
      </w:r>
      <w:r w:rsidRPr="00020881">
        <w:rPr>
          <w:rFonts w:cs="Arial"/>
          <w:szCs w:val="24"/>
        </w:rPr>
        <w:t xml:space="preserve"> y sus respectivas sillas. En cada punto de recuento se asignarán un auxiliar de recuento</w:t>
      </w:r>
      <w:r w:rsidR="00C438FE">
        <w:rPr>
          <w:rFonts w:cs="Arial"/>
          <w:szCs w:val="24"/>
        </w:rPr>
        <w:t xml:space="preserve">, un auxiliar de documentación, </w:t>
      </w:r>
      <w:r w:rsidRPr="00020881">
        <w:rPr>
          <w:rFonts w:cs="Arial"/>
          <w:szCs w:val="24"/>
        </w:rPr>
        <w:t>un auxiliar de captura</w:t>
      </w:r>
      <w:r w:rsidR="00C438FE">
        <w:rPr>
          <w:rFonts w:cs="Arial"/>
          <w:szCs w:val="24"/>
        </w:rPr>
        <w:t xml:space="preserve"> y un representante auxiliar</w:t>
      </w:r>
      <w:r w:rsidRPr="00020881">
        <w:rPr>
          <w:rFonts w:cs="Arial"/>
          <w:szCs w:val="24"/>
        </w:rPr>
        <w:t>, además de contar con la presencia de los representantes de partido que se encuentren debidamente acreditados.</w:t>
      </w:r>
    </w:p>
    <w:p w:rsidR="00020881" w:rsidRPr="00020881" w:rsidRDefault="00020881" w:rsidP="00020881">
      <w:pPr>
        <w:spacing w:after="200" w:line="276" w:lineRule="auto"/>
        <w:ind w:firstLine="0"/>
        <w:rPr>
          <w:rFonts w:cs="Arial"/>
          <w:szCs w:val="24"/>
        </w:rPr>
      </w:pPr>
      <w:r w:rsidRPr="00020881">
        <w:rPr>
          <w:rFonts w:cs="Arial"/>
          <w:szCs w:val="24"/>
        </w:rPr>
        <w:t>La única persona facultada para el manejo de los votos, será el auxiliar de recuento, quien a su vez, calificará la validez o nulidad de los votos.</w:t>
      </w:r>
    </w:p>
    <w:p w:rsidR="00020881" w:rsidRPr="00020881" w:rsidRDefault="00020881" w:rsidP="00020881">
      <w:pPr>
        <w:spacing w:after="200" w:line="276" w:lineRule="auto"/>
        <w:ind w:firstLine="0"/>
        <w:rPr>
          <w:rFonts w:cs="Arial"/>
          <w:szCs w:val="24"/>
        </w:rPr>
      </w:pPr>
      <w:r w:rsidRPr="00020881">
        <w:rPr>
          <w:rFonts w:cs="Arial"/>
          <w:szCs w:val="24"/>
        </w:rPr>
        <w:t>Los representantes de los partidos políticos solo podrán ser observadores de esta actividad, y en caso de incertidumbre de algún voto, éste quedará en reserva, y el pleno del consejo será quien determine su validez y a qué partido, coalición o candidato independiente será designado.</w:t>
      </w:r>
    </w:p>
    <w:p w:rsidR="00020881" w:rsidRPr="00020881" w:rsidRDefault="00020881" w:rsidP="00020881">
      <w:pPr>
        <w:spacing w:after="200" w:line="276" w:lineRule="auto"/>
        <w:ind w:firstLine="0"/>
        <w:rPr>
          <w:rFonts w:cs="Arial"/>
          <w:szCs w:val="24"/>
        </w:rPr>
      </w:pPr>
      <w:r w:rsidRPr="00020881">
        <w:rPr>
          <w:rFonts w:cs="Arial"/>
          <w:szCs w:val="24"/>
        </w:rPr>
        <w:t>La cercanía de la bodega con el área de recuento, permite llevar a cabo un control de ingreso, egreso y traslado de los paquetes electorales, y a su vez facilita el suministro a las mesas de trabajo, con el objeto de llevar una secuencia por sección, casilla y tipo de elección.</w:t>
      </w:r>
    </w:p>
    <w:p w:rsidR="00020881" w:rsidRPr="00020881" w:rsidRDefault="00020881" w:rsidP="00020881">
      <w:pPr>
        <w:spacing w:after="200" w:line="276" w:lineRule="auto"/>
        <w:ind w:firstLine="0"/>
        <w:rPr>
          <w:rFonts w:cs="Arial"/>
          <w:szCs w:val="24"/>
        </w:rPr>
      </w:pPr>
      <w:r w:rsidRPr="00020881">
        <w:rPr>
          <w:rFonts w:cs="Arial"/>
          <w:szCs w:val="24"/>
        </w:rPr>
        <w:t>La colocación de los PR dentro del área designada, permitirá el libre tránsito tanto del personal como de los paquetes en la sede del consejo.</w:t>
      </w:r>
    </w:p>
    <w:p w:rsidR="00C438FE" w:rsidRDefault="00020881" w:rsidP="00020881">
      <w:pPr>
        <w:spacing w:after="200" w:line="276" w:lineRule="auto"/>
        <w:ind w:firstLine="0"/>
        <w:rPr>
          <w:rFonts w:cs="Arial"/>
          <w:szCs w:val="24"/>
        </w:rPr>
      </w:pPr>
      <w:r w:rsidRPr="00020881">
        <w:rPr>
          <w:rFonts w:cs="Arial"/>
          <w:szCs w:val="24"/>
        </w:rPr>
        <w:t xml:space="preserve">La Sede distrital es un espacio que permite el fácil y adecuado desarrollo de las actividades, debido a que todas las áreas están conectadas entre sí, (el pleno de </w:t>
      </w:r>
    </w:p>
    <w:p w:rsidR="00C438FE" w:rsidRDefault="00C438FE" w:rsidP="00020881">
      <w:pPr>
        <w:spacing w:after="200" w:line="276" w:lineRule="auto"/>
        <w:ind w:firstLine="0"/>
        <w:rPr>
          <w:rFonts w:cs="Arial"/>
          <w:szCs w:val="24"/>
        </w:rPr>
      </w:pPr>
    </w:p>
    <w:p w:rsidR="00E93C72" w:rsidRDefault="00E93C72" w:rsidP="00020881">
      <w:pPr>
        <w:spacing w:after="200" w:line="276" w:lineRule="auto"/>
        <w:ind w:firstLine="0"/>
        <w:rPr>
          <w:rFonts w:cs="Arial"/>
          <w:szCs w:val="24"/>
        </w:rPr>
      </w:pPr>
    </w:p>
    <w:p w:rsidR="00020881" w:rsidRPr="00020881" w:rsidRDefault="00020881" w:rsidP="00020881">
      <w:pPr>
        <w:spacing w:after="200" w:line="276" w:lineRule="auto"/>
        <w:ind w:firstLine="0"/>
        <w:rPr>
          <w:rFonts w:cs="Arial"/>
          <w:szCs w:val="24"/>
        </w:rPr>
      </w:pPr>
      <w:r w:rsidRPr="00020881">
        <w:rPr>
          <w:rFonts w:cs="Arial"/>
          <w:szCs w:val="24"/>
        </w:rPr>
        <w:t xml:space="preserve">la sesión, área de informática y bodega) y todas las figuras que participarán en el recuento podrán llevar a cabo sus actividades de una manera práctica </w:t>
      </w:r>
    </w:p>
    <w:p w:rsidR="00020881" w:rsidRPr="00020881" w:rsidRDefault="00020881" w:rsidP="00020881">
      <w:pPr>
        <w:spacing w:after="200" w:line="276" w:lineRule="auto"/>
        <w:ind w:firstLine="0"/>
        <w:rPr>
          <w:rFonts w:cs="Arial"/>
          <w:szCs w:val="24"/>
        </w:rPr>
      </w:pPr>
      <w:r w:rsidRPr="00020881">
        <w:rPr>
          <w:rFonts w:cs="Arial"/>
          <w:szCs w:val="24"/>
        </w:rPr>
        <w:t>El ingreso de la puerta principal permanecerá cerrado y este a su vez contará con  vigilancia, garantizando una mayor certeza y  a su vez  protección y control de las personas que, previamente acreditadas, podrán ingresar al recinto.</w:t>
      </w:r>
    </w:p>
    <w:p w:rsidR="00020881" w:rsidRPr="00020881" w:rsidRDefault="00020881" w:rsidP="00020881">
      <w:pPr>
        <w:spacing w:after="200" w:line="276" w:lineRule="auto"/>
        <w:ind w:firstLine="0"/>
        <w:rPr>
          <w:rFonts w:cs="Arial"/>
          <w:szCs w:val="24"/>
        </w:rPr>
      </w:pPr>
      <w:r w:rsidRPr="00020881">
        <w:rPr>
          <w:rFonts w:cs="Arial"/>
          <w:szCs w:val="24"/>
        </w:rPr>
        <w:t>El lineamiento de recuento prevé diversos escenarios, para lo cual se llevó a cabo un ejercicio para los posibles casos de recuentos totales por tipo de elección; gobernador, diputados y munícipes.</w:t>
      </w:r>
    </w:p>
    <w:p w:rsidR="00020881" w:rsidRPr="00020881" w:rsidRDefault="00020881" w:rsidP="00020881">
      <w:pPr>
        <w:spacing w:after="200" w:line="276" w:lineRule="auto"/>
        <w:ind w:firstLine="0"/>
        <w:rPr>
          <w:rFonts w:cs="Arial"/>
          <w:szCs w:val="24"/>
        </w:rPr>
      </w:pPr>
      <w:r w:rsidRPr="00020881">
        <w:rPr>
          <w:rFonts w:cs="Arial"/>
          <w:szCs w:val="24"/>
        </w:rPr>
        <w:t>Con base a este lineamiento se definieron los diversos escenarios:</w:t>
      </w:r>
    </w:p>
    <w:p w:rsidR="00020881" w:rsidRPr="00020881" w:rsidRDefault="00020881" w:rsidP="00020881">
      <w:pPr>
        <w:numPr>
          <w:ilvl w:val="0"/>
          <w:numId w:val="1"/>
        </w:numPr>
        <w:spacing w:after="200" w:line="276" w:lineRule="auto"/>
        <w:contextualSpacing/>
        <w:jc w:val="left"/>
        <w:rPr>
          <w:rFonts w:cs="Arial"/>
          <w:szCs w:val="24"/>
        </w:rPr>
      </w:pPr>
      <w:r w:rsidRPr="00020881">
        <w:rPr>
          <w:rFonts w:cs="Arial"/>
          <w:szCs w:val="24"/>
        </w:rPr>
        <w:t>Recuento total distrital de la elección de gobernador</w:t>
      </w:r>
    </w:p>
    <w:p w:rsidR="00020881" w:rsidRPr="00020881" w:rsidRDefault="00020881" w:rsidP="00020881">
      <w:pPr>
        <w:numPr>
          <w:ilvl w:val="0"/>
          <w:numId w:val="1"/>
        </w:numPr>
        <w:spacing w:after="200" w:line="276" w:lineRule="auto"/>
        <w:contextualSpacing/>
        <w:jc w:val="left"/>
        <w:rPr>
          <w:rFonts w:cs="Arial"/>
          <w:szCs w:val="24"/>
        </w:rPr>
      </w:pPr>
      <w:r w:rsidRPr="00020881">
        <w:rPr>
          <w:rFonts w:cs="Arial"/>
          <w:szCs w:val="24"/>
        </w:rPr>
        <w:t>Recuento total de la elección de diputados</w:t>
      </w:r>
    </w:p>
    <w:p w:rsidR="00020881" w:rsidRPr="00020881" w:rsidRDefault="00020881" w:rsidP="00020881">
      <w:pPr>
        <w:numPr>
          <w:ilvl w:val="0"/>
          <w:numId w:val="1"/>
        </w:numPr>
        <w:spacing w:after="200" w:line="276" w:lineRule="auto"/>
        <w:contextualSpacing/>
        <w:jc w:val="left"/>
        <w:rPr>
          <w:rFonts w:cs="Arial"/>
          <w:szCs w:val="24"/>
        </w:rPr>
      </w:pPr>
      <w:r w:rsidRPr="00020881">
        <w:rPr>
          <w:rFonts w:cs="Arial"/>
          <w:szCs w:val="24"/>
        </w:rPr>
        <w:t>Recuento total de uno o más municipios</w:t>
      </w:r>
    </w:p>
    <w:p w:rsidR="00020881" w:rsidRPr="00020881" w:rsidRDefault="00020881" w:rsidP="00020881">
      <w:pPr>
        <w:numPr>
          <w:ilvl w:val="0"/>
          <w:numId w:val="1"/>
        </w:numPr>
        <w:spacing w:after="200" w:line="276" w:lineRule="auto"/>
        <w:contextualSpacing/>
        <w:jc w:val="left"/>
        <w:rPr>
          <w:rFonts w:cs="Arial"/>
          <w:szCs w:val="24"/>
        </w:rPr>
      </w:pPr>
      <w:r w:rsidRPr="00020881">
        <w:rPr>
          <w:rFonts w:cs="Arial"/>
          <w:szCs w:val="24"/>
        </w:rPr>
        <w:t>Recuento total de una combinación de los mencionados anteriormente</w:t>
      </w:r>
    </w:p>
    <w:p w:rsidR="00020881" w:rsidRPr="00020881" w:rsidRDefault="00020881" w:rsidP="00020881">
      <w:pPr>
        <w:spacing w:after="200" w:line="276" w:lineRule="auto"/>
        <w:ind w:firstLine="0"/>
        <w:rPr>
          <w:rFonts w:cs="Arial"/>
          <w:szCs w:val="24"/>
        </w:rPr>
      </w:pPr>
      <w:r w:rsidRPr="00020881">
        <w:rPr>
          <w:rFonts w:cs="Arial"/>
          <w:szCs w:val="24"/>
        </w:rPr>
        <w:t>Se llevó a cabo la planeación de las actividades de recuento, con base en la aplicación de fórmulas para la definición de los recursos humanos y materiales específicos por tipo de elección. De esta manera podemos sustentar que se podrá llevar a cabo el recuento simultáneo de dos o más elecciones.</w:t>
      </w:r>
    </w:p>
    <w:p w:rsidR="00020881" w:rsidRPr="00020881" w:rsidRDefault="00020881" w:rsidP="00020881">
      <w:pPr>
        <w:spacing w:after="200" w:line="276" w:lineRule="auto"/>
        <w:ind w:firstLine="0"/>
        <w:rPr>
          <w:rFonts w:cs="Arial"/>
          <w:szCs w:val="24"/>
        </w:rPr>
      </w:pPr>
    </w:p>
    <w:p w:rsidR="009C48F5" w:rsidRDefault="009C48F5"/>
    <w:p w:rsidR="00E93C72" w:rsidRDefault="00E93C72"/>
    <w:p w:rsidR="00E93C72" w:rsidRDefault="00E93C72"/>
    <w:p w:rsidR="00E93C72" w:rsidRDefault="00E93C72"/>
    <w:p w:rsidR="00E93C72" w:rsidRDefault="00E93C72"/>
    <w:p w:rsidR="00E93C72" w:rsidRDefault="00E93C72"/>
    <w:p w:rsidR="00E93C72" w:rsidRDefault="00E93C72"/>
    <w:p w:rsidR="00E93C72" w:rsidRDefault="00E93C72"/>
    <w:p w:rsidR="00E93C72" w:rsidRDefault="00E93C72"/>
    <w:p w:rsidR="00E93C72" w:rsidRDefault="00E93C72"/>
    <w:p w:rsidR="00E93C72" w:rsidRDefault="00E93C72"/>
    <w:p w:rsidR="00E93C72" w:rsidRDefault="00E93C72"/>
    <w:p w:rsidR="00E93C72" w:rsidRDefault="00E93C72"/>
    <w:p w:rsidR="00E93C72" w:rsidRDefault="00E93C72"/>
    <w:p w:rsidR="00E93C72" w:rsidRDefault="00E93C72">
      <w:bookmarkStart w:id="0" w:name="_GoBack"/>
      <w:bookmarkEnd w:id="0"/>
    </w:p>
    <w:p w:rsidR="00E93C72" w:rsidRDefault="00E93C72"/>
    <w:p w:rsidR="00E93C72" w:rsidRDefault="00E93C72">
      <w:r>
        <w:rPr>
          <w:noProof/>
          <w:lang w:eastAsia="es-MX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120015</wp:posOffset>
            </wp:positionH>
            <wp:positionV relativeFrom="paragraph">
              <wp:posOffset>349250</wp:posOffset>
            </wp:positionV>
            <wp:extent cx="5086350" cy="6405821"/>
            <wp:effectExtent l="0" t="0" r="0" b="0"/>
            <wp:wrapThrough wrapText="bothSides">
              <wp:wrapPolygon edited="0">
                <wp:start x="0" y="0"/>
                <wp:lineTo x="0" y="21521"/>
                <wp:lineTo x="21519" y="21521"/>
                <wp:lineTo x="21519" y="0"/>
                <wp:lineTo x="0" y="0"/>
              </wp:wrapPolygon>
            </wp:wrapThrough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cuent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64058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93C72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4B6" w:rsidRDefault="005254B6" w:rsidP="009C48F5">
      <w:pPr>
        <w:spacing w:after="0"/>
      </w:pPr>
      <w:r>
        <w:separator/>
      </w:r>
    </w:p>
  </w:endnote>
  <w:endnote w:type="continuationSeparator" w:id="0">
    <w:p w:rsidR="005254B6" w:rsidRDefault="005254B6" w:rsidP="009C48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4B6" w:rsidRDefault="005254B6" w:rsidP="009C48F5">
      <w:pPr>
        <w:spacing w:after="0"/>
      </w:pPr>
      <w:r>
        <w:separator/>
      </w:r>
    </w:p>
  </w:footnote>
  <w:footnote w:type="continuationSeparator" w:id="0">
    <w:p w:rsidR="005254B6" w:rsidRDefault="005254B6" w:rsidP="009C48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8F5" w:rsidRPr="00040AD3" w:rsidRDefault="009C48F5" w:rsidP="009C48F5">
    <w:pPr>
      <w:tabs>
        <w:tab w:val="center" w:pos="4419"/>
        <w:tab w:val="left" w:pos="5100"/>
        <w:tab w:val="right" w:pos="8838"/>
      </w:tabs>
      <w:spacing w:after="0"/>
      <w:ind w:firstLine="0"/>
      <w:jc w:val="left"/>
      <w:rPr>
        <w:rFonts w:asciiTheme="minorHAnsi" w:hAnsiTheme="minorHAnsi"/>
        <w:sz w:val="28"/>
        <w:szCs w:val="28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6CCBE41" wp14:editId="07ABB715">
          <wp:simplePos x="0" y="0"/>
          <wp:positionH relativeFrom="margin">
            <wp:posOffset>-535940</wp:posOffset>
          </wp:positionH>
          <wp:positionV relativeFrom="margin">
            <wp:posOffset>-796925</wp:posOffset>
          </wp:positionV>
          <wp:extent cx="1590675" cy="795020"/>
          <wp:effectExtent l="0" t="0" r="9525" b="5080"/>
          <wp:wrapNone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EP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0675" cy="7950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458D2">
      <w:t>01</w:t>
    </w:r>
    <w:r>
      <w:tab/>
    </w:r>
    <w:r w:rsidRPr="00040AD3">
      <w:rPr>
        <w:rFonts w:asciiTheme="minorHAnsi" w:hAnsiTheme="minorHAnsi"/>
        <w:sz w:val="28"/>
        <w:szCs w:val="28"/>
      </w:rPr>
      <w:t xml:space="preserve">Consejo Distrital </w:t>
    </w:r>
    <w:r w:rsidR="004458D2">
      <w:rPr>
        <w:rFonts w:asciiTheme="minorHAnsi" w:hAnsiTheme="minorHAnsi"/>
        <w:sz w:val="28"/>
        <w:szCs w:val="28"/>
      </w:rPr>
      <w:t>01</w:t>
    </w:r>
  </w:p>
  <w:p w:rsidR="009C48F5" w:rsidRPr="00040AD3" w:rsidRDefault="009C48F5" w:rsidP="009C48F5">
    <w:pPr>
      <w:tabs>
        <w:tab w:val="center" w:pos="4419"/>
        <w:tab w:val="left" w:pos="5100"/>
        <w:tab w:val="right" w:pos="8838"/>
      </w:tabs>
      <w:spacing w:after="0"/>
      <w:ind w:firstLine="0"/>
      <w:jc w:val="left"/>
      <w:rPr>
        <w:rFonts w:asciiTheme="minorHAnsi" w:hAnsiTheme="minorHAnsi"/>
        <w:sz w:val="28"/>
        <w:szCs w:val="28"/>
      </w:rPr>
    </w:pPr>
    <w:r w:rsidRPr="00040AD3">
      <w:rPr>
        <w:rFonts w:asciiTheme="minorHAnsi" w:hAnsiTheme="minorHAnsi"/>
        <w:sz w:val="28"/>
        <w:szCs w:val="28"/>
      </w:rPr>
      <w:t xml:space="preserve">                                                     </w:t>
    </w:r>
    <w:r w:rsidR="004458D2">
      <w:rPr>
        <w:rFonts w:asciiTheme="minorHAnsi" w:hAnsiTheme="minorHAnsi"/>
        <w:sz w:val="28"/>
        <w:szCs w:val="28"/>
      </w:rPr>
      <w:t>Tequila</w:t>
    </w:r>
    <w:r w:rsidRPr="00040AD3">
      <w:rPr>
        <w:rFonts w:asciiTheme="minorHAnsi" w:hAnsiTheme="minorHAnsi"/>
        <w:sz w:val="28"/>
        <w:szCs w:val="28"/>
      </w:rPr>
      <w:t>, Jalisco                        2</w:t>
    </w:r>
    <w:r w:rsidR="004458D2">
      <w:rPr>
        <w:rFonts w:asciiTheme="minorHAnsi" w:hAnsiTheme="minorHAnsi"/>
        <w:sz w:val="28"/>
        <w:szCs w:val="28"/>
      </w:rPr>
      <w:t>5</w:t>
    </w:r>
    <w:r w:rsidRPr="00040AD3">
      <w:rPr>
        <w:rFonts w:asciiTheme="minorHAnsi" w:hAnsiTheme="minorHAnsi"/>
        <w:sz w:val="28"/>
        <w:szCs w:val="28"/>
      </w:rPr>
      <w:t xml:space="preserve"> febrero 2018</w:t>
    </w:r>
  </w:p>
  <w:p w:rsidR="009C48F5" w:rsidRDefault="009C48F5" w:rsidP="009C48F5">
    <w:pPr>
      <w:pStyle w:val="Encabezado"/>
      <w:tabs>
        <w:tab w:val="clear" w:pos="4419"/>
        <w:tab w:val="clear" w:pos="8838"/>
        <w:tab w:val="left" w:pos="506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B64BB8"/>
    <w:multiLevelType w:val="hybridMultilevel"/>
    <w:tmpl w:val="5922C09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8F5"/>
    <w:rsid w:val="00004DED"/>
    <w:rsid w:val="00020881"/>
    <w:rsid w:val="000E0361"/>
    <w:rsid w:val="0016231A"/>
    <w:rsid w:val="001B0E06"/>
    <w:rsid w:val="001D13CB"/>
    <w:rsid w:val="001F248C"/>
    <w:rsid w:val="00284292"/>
    <w:rsid w:val="00294865"/>
    <w:rsid w:val="003E204C"/>
    <w:rsid w:val="004458D2"/>
    <w:rsid w:val="005013C7"/>
    <w:rsid w:val="005254B6"/>
    <w:rsid w:val="00825DC3"/>
    <w:rsid w:val="008416FE"/>
    <w:rsid w:val="009C48F5"/>
    <w:rsid w:val="009F57B4"/>
    <w:rsid w:val="00C438FE"/>
    <w:rsid w:val="00D46357"/>
    <w:rsid w:val="00D904D3"/>
    <w:rsid w:val="00E9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5C7A39-A3A4-4C5C-A4D0-8602C47CA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16FE"/>
    <w:pPr>
      <w:spacing w:after="120" w:line="240" w:lineRule="auto"/>
      <w:ind w:firstLine="284"/>
      <w:jc w:val="both"/>
    </w:pPr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5013C7"/>
    <w:pPr>
      <w:keepNext/>
      <w:keepLines/>
      <w:spacing w:before="480" w:after="0"/>
      <w:outlineLvl w:val="0"/>
    </w:pPr>
    <w:rPr>
      <w:rFonts w:eastAsiaTheme="majorEastAsia" w:cstheme="majorBidi"/>
      <w:bCs/>
      <w:color w:val="0F243E" w:themeColor="text2" w:themeShade="80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013C7"/>
    <w:rPr>
      <w:rFonts w:ascii="Arial" w:eastAsiaTheme="majorEastAsia" w:hAnsi="Arial" w:cstheme="majorBidi"/>
      <w:bCs/>
      <w:color w:val="0F243E" w:themeColor="text2" w:themeShade="80"/>
      <w:sz w:val="24"/>
      <w:szCs w:val="28"/>
    </w:rPr>
  </w:style>
  <w:style w:type="paragraph" w:styleId="Encabezado">
    <w:name w:val="header"/>
    <w:basedOn w:val="Normal"/>
    <w:link w:val="EncabezadoCar"/>
    <w:uiPriority w:val="99"/>
    <w:unhideWhenUsed/>
    <w:rsid w:val="009C48F5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9C48F5"/>
    <w:rPr>
      <w:rFonts w:ascii="Arial" w:hAnsi="Arial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9C48F5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C48F5"/>
    <w:rPr>
      <w:rFonts w:ascii="Arial" w:hAnsi="Arial"/>
      <w:sz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6231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23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482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ARTURO RIVERA MEXICANO</dc:creator>
  <cp:lastModifiedBy>Jorge Enrique Rosales Ruiz</cp:lastModifiedBy>
  <cp:revision>6</cp:revision>
  <cp:lastPrinted>2018-02-26T20:42:00Z</cp:lastPrinted>
  <dcterms:created xsi:type="dcterms:W3CDTF">2018-02-26T18:55:00Z</dcterms:created>
  <dcterms:modified xsi:type="dcterms:W3CDTF">2018-02-26T21:00:00Z</dcterms:modified>
</cp:coreProperties>
</file>