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32" w:rsidRDefault="00BB3EBF">
      <w:pPr>
        <w:spacing w:after="0" w:line="360" w:lineRule="auto"/>
        <w:jc w:val="center"/>
        <w:rPr>
          <w:rFonts w:ascii="Trebuchet MS" w:eastAsia="Trebuchet MS" w:hAnsi="Trebuchet MS" w:cs="Trebuchet MS"/>
          <w:color w:val="7030A0"/>
          <w:sz w:val="28"/>
          <w:szCs w:val="28"/>
        </w:rPr>
      </w:pPr>
      <w:bookmarkStart w:id="0" w:name="_gjdgxs" w:colFirst="0" w:colLast="0"/>
      <w:bookmarkStart w:id="1" w:name="_GoBack"/>
      <w:bookmarkEnd w:id="0"/>
      <w:bookmarkEnd w:id="1"/>
      <w:r>
        <w:rPr>
          <w:rFonts w:ascii="Trebuchet MS" w:eastAsia="Trebuchet MS" w:hAnsi="Trebuchet MS" w:cs="Trebuchet MS"/>
          <w:color w:val="7030A0"/>
          <w:sz w:val="28"/>
          <w:szCs w:val="28"/>
        </w:rPr>
        <w:t>INSTITUTO ELECTORAL Y DE PARTICIPACIÓN</w:t>
      </w:r>
    </w:p>
    <w:p w:rsidR="00551932" w:rsidRDefault="00BB3EBF">
      <w:pPr>
        <w:spacing w:after="0" w:line="360" w:lineRule="auto"/>
        <w:jc w:val="center"/>
        <w:rPr>
          <w:rFonts w:ascii="Trebuchet MS" w:eastAsia="Trebuchet MS" w:hAnsi="Trebuchet MS" w:cs="Trebuchet MS"/>
          <w:color w:val="7030A0"/>
          <w:sz w:val="28"/>
          <w:szCs w:val="28"/>
        </w:rPr>
      </w:pPr>
      <w:r>
        <w:rPr>
          <w:rFonts w:ascii="Trebuchet MS" w:eastAsia="Trebuchet MS" w:hAnsi="Trebuchet MS" w:cs="Trebuchet MS"/>
          <w:color w:val="7030A0"/>
          <w:sz w:val="28"/>
          <w:szCs w:val="28"/>
        </w:rPr>
        <w:t>CIUDADANA DEL ESTADO DE JALISCO</w:t>
      </w:r>
    </w:p>
    <w:p w:rsidR="00551932" w:rsidRDefault="00BB3EBF">
      <w:pPr>
        <w:spacing w:after="80" w:line="240" w:lineRule="auto"/>
        <w:jc w:val="center"/>
        <w:rPr>
          <w:rFonts w:ascii="Trebuchet MS" w:eastAsia="Trebuchet MS" w:hAnsi="Trebuchet MS" w:cs="Trebuchet MS"/>
          <w:b/>
          <w:color w:val="7030A0"/>
          <w:sz w:val="24"/>
          <w:szCs w:val="24"/>
        </w:rPr>
      </w:pPr>
      <w:r>
        <w:rPr>
          <w:rFonts w:ascii="Trebuchet MS" w:eastAsia="Trebuchet MS" w:hAnsi="Trebuchet MS" w:cs="Trebuchet MS"/>
          <w:b/>
          <w:color w:val="7030A0"/>
          <w:sz w:val="24"/>
          <w:szCs w:val="24"/>
        </w:rPr>
        <w:t xml:space="preserve">AVISO DE PRIVACIDAD FOCALIZADO PARA LA CAPTACIÓN DE APOYO CIUDADANO A LAS Y LOS ASPIRANTES A CANDIDATURAS INDEPENDIENTES. </w:t>
      </w:r>
    </w:p>
    <w:p w:rsidR="00551932" w:rsidRDefault="00551932">
      <w:pPr>
        <w:spacing w:after="0" w:line="276" w:lineRule="auto"/>
        <w:jc w:val="both"/>
        <w:rPr>
          <w:rFonts w:ascii="Trebuchet MS" w:eastAsia="Trebuchet MS" w:hAnsi="Trebuchet MS" w:cs="Trebuchet MS"/>
          <w:b/>
          <w:sz w:val="24"/>
          <w:szCs w:val="24"/>
        </w:rPr>
      </w:pPr>
    </w:p>
    <w:p w:rsidR="00551932" w:rsidRDefault="00BB3EBF">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1. Domicilio del responsable</w:t>
      </w:r>
    </w:p>
    <w:p w:rsidR="00551932" w:rsidRDefault="00BB3EBF">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El Instituto Electoral y de Participación Ciudadana del Estado de Jalisco (Instituto Electoral), con domicilio en Parque de las Estrellas 2764, colonia Jardines del Bosque Centro, CP 44520, en Guadalajara, Jalisco, es el responsable del uso,  protección y tratamiento los datos personales que sean recabados.</w:t>
      </w:r>
    </w:p>
    <w:p w:rsidR="00551932" w:rsidRDefault="00551932">
      <w:pPr>
        <w:spacing w:after="0" w:line="276" w:lineRule="auto"/>
        <w:jc w:val="both"/>
        <w:rPr>
          <w:rFonts w:ascii="Trebuchet MS" w:eastAsia="Trebuchet MS" w:hAnsi="Trebuchet MS" w:cs="Trebuchet MS"/>
          <w:sz w:val="24"/>
          <w:szCs w:val="24"/>
        </w:rPr>
      </w:pPr>
    </w:p>
    <w:p w:rsidR="00551932" w:rsidRDefault="00BB3EBF">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2. Finalidades del tratamiento para los cuales se obtienen los datos personales</w:t>
      </w:r>
    </w:p>
    <w:p w:rsidR="00551932" w:rsidRDefault="00BB3EBF">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4"/>
          <w:szCs w:val="24"/>
        </w:rPr>
      </w:pPr>
      <w:r>
        <w:rPr>
          <w:rFonts w:ascii="Trebuchet MS" w:eastAsia="Trebuchet MS" w:hAnsi="Trebuchet MS" w:cs="Trebuchet MS"/>
          <w:sz w:val="24"/>
          <w:szCs w:val="24"/>
        </w:rPr>
        <w:t>Los datos que podrán ser recabados directa o indirectamente, por medio electrónico, por escrito, por teléfono, serán única y exclusivamente utilizados para los objetivos y atribuciones del Instituto Electoral que son: Participar del ejercicio de la función electoral, en la forma y términos que determina la Constitución Política de los Estados Unidos Mexicanos, la Constitución del Estado, la Ley General de Instituciones y Procedimientos Electorales, el Código Electoral del Estado de Jalisco. Organizar, desarrollar, computar y declarar los resultados de los mecanismos de participación ciudadana y popular que sean competencia del Instituto Electoral. Recibir y resolver en los términos del Código Electoral del Estado de Jalisco los proyectos de iniciativa popular. Promover una cultura política sustentada en la tolerancia, la democracia, la identidad nacional y el pluralismo, mediante actividades y programas de educación cívica y electoral. Vigilar en el ámbito electoral el cumplimiento de la Constitución Política local, el Código Electoral del Estado de Jalisco que garanticen el derecho de organización y participación política de los ciudadanos. Realizar, en el ámbito de competencia, todas las actividades tendientes a fin de que los jaliscienses residentes en el extranjero puedan ejercer su derecho al voto. Garantizar la paridad de género y el respeto de los derechos humanos de las mujeres en el ámbito político, electoral y de participación ciudadana en el estado. Aprobar la celebración de convenios con organismos o instituciones públicas y privadas con objeto de lograr su colaboración para el cumplimiento de los fines del Instituto Electoral. Realizar los procedimientos de adquisiciones, arrendamientos y servicios del Instituto Electoral, en términos de la Ley de Compras Gubernamentales, Enajenaciones y Contratación de Servicios del Estado de Jalisco y sus Municipios; y Reglamento Interior del Comité de Adquisiciones y Enajenaciones del Instituto Electoral y de Participación Ciudadana del Estado de Jalisco y demás órganos participantes en los procesos de adquisición y enajenación</w:t>
      </w:r>
      <w:r>
        <w:rPr>
          <w:rFonts w:ascii="Trebuchet MS" w:eastAsia="Trebuchet MS" w:hAnsi="Trebuchet MS" w:cs="Trebuchet MS"/>
        </w:rPr>
        <w:t xml:space="preserve">. </w:t>
      </w:r>
      <w:r>
        <w:rPr>
          <w:rFonts w:ascii="Trebuchet MS" w:eastAsia="Trebuchet MS" w:hAnsi="Trebuchet MS" w:cs="Trebuchet MS"/>
          <w:sz w:val="24"/>
          <w:szCs w:val="24"/>
        </w:rPr>
        <w:t xml:space="preserve">Recabar la información necesaria para la formalización de contratos </w:t>
      </w:r>
      <w:r>
        <w:rPr>
          <w:rFonts w:ascii="Trebuchet MS" w:eastAsia="Trebuchet MS" w:hAnsi="Trebuchet MS" w:cs="Trebuchet MS"/>
          <w:sz w:val="24"/>
          <w:szCs w:val="24"/>
        </w:rPr>
        <w:lastRenderedPageBreak/>
        <w:t>con personas físicas o jurídicas. Tramitación de solicitudes de información y ejercicio de derechos ARCO. Identificación de las partes que asisten al desahogo de cualquier diligencia que se practique en el Instituto Electoral. Trámite a denuncias y/o quejas interpuestas en contra de los servidores públicos del Instituto Electoral. Expedientes laborales y declaraciones patrimoniales de los trabajadores del instituto.</w:t>
      </w:r>
    </w:p>
    <w:p w:rsidR="00551932" w:rsidRDefault="00551932">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Trebuchet MS" w:eastAsia="Trebuchet MS" w:hAnsi="Trebuchet MS" w:cs="Trebuchet MS"/>
          <w:sz w:val="24"/>
          <w:szCs w:val="24"/>
        </w:rPr>
      </w:pPr>
    </w:p>
    <w:p w:rsidR="00551932" w:rsidRDefault="00BB3EBF">
      <w:pPr>
        <w:spacing w:after="80"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3. Los datos personales que serán recabados para la captación de apoyo ciudadano de las y los aspirantes a candidatos independientes, serán utilizados con los siguientes fines:</w:t>
      </w:r>
    </w:p>
    <w:p w:rsidR="00551932" w:rsidRDefault="00551932">
      <w:pPr>
        <w:spacing w:after="80" w:line="240" w:lineRule="auto"/>
        <w:rPr>
          <w:rFonts w:ascii="Trebuchet MS" w:eastAsia="Trebuchet MS" w:hAnsi="Trebuchet MS" w:cs="Trebuchet MS"/>
          <w:b/>
          <w:sz w:val="24"/>
          <w:szCs w:val="24"/>
        </w:rPr>
      </w:pP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Hacer uso de la información captada a través de la APP exclusivamente para cumplir con las atribuciones conferidas a este Instituto en la Constitución federal y estatal, sus leyes aplicables y la normatividad aplicable en materia de transparencia, acceso a la información pública y protección de datos personales, así como los Lineamientos para la Verificación del Cumplimiento del Porcentaje de Apoyo de la Ciudadanía que se Requiere para el Registro de Candidaturas Independientes Mediante el Uso de la Aplicación Móvil en el Proceso Electoral Local 2020-2021 en lo sucesivo, los “Lineamientos”.</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Llevar a cabo las actividades inherentes a la regulación de los “Lineamientos”.</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Dar de alta en el Portal web a las y los aspirantes a candidaturas independientes y validar a sus respectivos auxiliares.</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Dar de baja en el Portal web a las y los aspirantes a candidaturas independientes que manifiesten su desistimiento para continuar con el procedimiento.</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Operar la Mesa de Control conforme a los criterios de revisión y clarificación de los registros establecidos.</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Revisar, en conjunto con las y los aspirantes a candidaturas independientes, los apoyos de la ciudadanía en los que se advierta alguna inconsistencia.</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Informar a las y los aspirantes el número de registros de apoyo alcanzado, así como la situación registral de cada registro y las inconsistencias identificadas.</w:t>
      </w:r>
    </w:p>
    <w:p w:rsidR="00551932" w:rsidRDefault="00BB3EBF">
      <w:pPr>
        <w:numPr>
          <w:ilvl w:val="0"/>
          <w:numId w:val="1"/>
        </w:numPr>
        <w:pBdr>
          <w:top w:val="nil"/>
          <w:left w:val="nil"/>
          <w:bottom w:val="nil"/>
          <w:right w:val="nil"/>
          <w:between w:val="nil"/>
        </w:pBdr>
        <w:spacing w:after="0" w:line="276"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Recibir y registrar las solicitudes de derecho de garantía de audiencia que las y los aspirantes a candidaturas independientes soliciten, y celebrar y desahogar los procedimientos relativos.</w:t>
      </w:r>
    </w:p>
    <w:p w:rsidR="00551932" w:rsidRDefault="00BB3EBF">
      <w:pPr>
        <w:numPr>
          <w:ilvl w:val="0"/>
          <w:numId w:val="1"/>
        </w:numPr>
        <w:pBdr>
          <w:top w:val="nil"/>
          <w:left w:val="nil"/>
          <w:bottom w:val="nil"/>
          <w:right w:val="nil"/>
          <w:between w:val="nil"/>
        </w:pBdr>
        <w:spacing w:after="0" w:line="360" w:lineRule="auto"/>
        <w:ind w:right="1"/>
        <w:contextualSpacing/>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Recibir la información de los registros y los resultados que al efecto emita la DERFE.</w:t>
      </w:r>
    </w:p>
    <w:p w:rsidR="00551932" w:rsidRDefault="00BB3EBF">
      <w:pPr>
        <w:spacing w:after="8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Para cumplir con la o las finalidades señaladas, los datos personales que utilizaremos son los siguientes:</w:t>
      </w:r>
    </w:p>
    <w:p w:rsidR="00551932" w:rsidRDefault="00551932">
      <w:pPr>
        <w:spacing w:after="80" w:line="240" w:lineRule="auto"/>
        <w:jc w:val="both"/>
        <w:rPr>
          <w:rFonts w:ascii="Trebuchet MS" w:eastAsia="Trebuchet MS" w:hAnsi="Trebuchet MS" w:cs="Trebuchet MS"/>
          <w:sz w:val="24"/>
          <w:szCs w:val="24"/>
        </w:rPr>
      </w:pPr>
    </w:p>
    <w:p w:rsidR="00551932" w:rsidRDefault="00BB3EBF">
      <w:pPr>
        <w:numPr>
          <w:ilvl w:val="0"/>
          <w:numId w:val="2"/>
        </w:numPr>
        <w:pBdr>
          <w:top w:val="nil"/>
          <w:left w:val="nil"/>
          <w:bottom w:val="nil"/>
          <w:right w:val="nil"/>
          <w:between w:val="nil"/>
        </w:pBdr>
        <w:spacing w:after="0" w:line="240" w:lineRule="auto"/>
        <w:ind w:right="1"/>
        <w:contextualSpacing/>
        <w:jc w:val="both"/>
      </w:pPr>
      <w:r>
        <w:rPr>
          <w:rFonts w:ascii="Trebuchet MS" w:eastAsia="Trebuchet MS" w:hAnsi="Trebuchet MS" w:cs="Trebuchet MS"/>
          <w:color w:val="000000"/>
          <w:sz w:val="24"/>
          <w:szCs w:val="24"/>
        </w:rPr>
        <w:t>Los que aparecen en el anverso y reverso de su credencial para votar: nombre completo; domicilio (calle, colonia, ciudad, población y código postal); fecha de nacimiento; número de estado; de municipio; de sección; de localidad; clave de elector, sexo; edad; año de registro; folio CURP; OCR; huella dactilar; firma y; fotografía.</w:t>
      </w:r>
    </w:p>
    <w:p w:rsidR="00551932" w:rsidRDefault="00BB3EBF">
      <w:pPr>
        <w:numPr>
          <w:ilvl w:val="0"/>
          <w:numId w:val="2"/>
        </w:numPr>
        <w:pBdr>
          <w:top w:val="nil"/>
          <w:left w:val="nil"/>
          <w:bottom w:val="nil"/>
          <w:right w:val="nil"/>
          <w:between w:val="nil"/>
        </w:pBdr>
        <w:spacing w:after="0" w:line="240" w:lineRule="auto"/>
        <w:ind w:right="1"/>
        <w:contextualSpacing/>
        <w:jc w:val="both"/>
      </w:pPr>
      <w:r>
        <w:rPr>
          <w:rFonts w:ascii="Trebuchet MS" w:eastAsia="Trebuchet MS" w:hAnsi="Trebuchet MS" w:cs="Trebuchet MS"/>
          <w:color w:val="000000"/>
          <w:sz w:val="24"/>
          <w:szCs w:val="24"/>
        </w:rPr>
        <w:t>Firma digital.</w:t>
      </w:r>
    </w:p>
    <w:p w:rsidR="00551932" w:rsidRDefault="00BB3EBF">
      <w:pPr>
        <w:numPr>
          <w:ilvl w:val="0"/>
          <w:numId w:val="2"/>
        </w:numPr>
        <w:pBdr>
          <w:top w:val="nil"/>
          <w:left w:val="nil"/>
          <w:bottom w:val="nil"/>
          <w:right w:val="nil"/>
          <w:between w:val="nil"/>
        </w:pBdr>
        <w:spacing w:after="80" w:line="240" w:lineRule="auto"/>
        <w:ind w:right="1"/>
        <w:contextualSpacing/>
        <w:jc w:val="both"/>
      </w:pPr>
      <w:r>
        <w:rPr>
          <w:rFonts w:ascii="Trebuchet MS" w:eastAsia="Trebuchet MS" w:hAnsi="Trebuchet MS" w:cs="Trebuchet MS"/>
          <w:color w:val="000000"/>
          <w:sz w:val="24"/>
          <w:szCs w:val="24"/>
        </w:rPr>
        <w:t>En su caso, una fotografía que se tome en ese momento, siempre y cuando otorgue su consentimiento.</w:t>
      </w:r>
    </w:p>
    <w:p w:rsidR="00551932" w:rsidRDefault="00551932">
      <w:pPr>
        <w:spacing w:after="0" w:line="276" w:lineRule="auto"/>
        <w:jc w:val="both"/>
        <w:rPr>
          <w:rFonts w:ascii="Trebuchet MS" w:eastAsia="Trebuchet MS" w:hAnsi="Trebuchet MS" w:cs="Trebuchet MS"/>
          <w:b/>
          <w:sz w:val="24"/>
          <w:szCs w:val="24"/>
        </w:rPr>
      </w:pPr>
    </w:p>
    <w:p w:rsidR="00551932" w:rsidRDefault="00BB3EBF">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4. Transferencia de datos personales</w:t>
      </w:r>
    </w:p>
    <w:p w:rsidR="00551932" w:rsidRDefault="00BB3EBF">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Este organismo electoral no transfiere datos personales a terceros y en caso de realizarlo, requerirá del consentimiento del titular por escrito, con la excepción de lo dispuesto por el artículo 75 de la Ley de Protección de Datos Personales de Jalisco.</w:t>
      </w:r>
    </w:p>
    <w:p w:rsidR="00551932" w:rsidRDefault="00551932">
      <w:pPr>
        <w:spacing w:after="0" w:line="276" w:lineRule="auto"/>
        <w:jc w:val="both"/>
        <w:rPr>
          <w:rFonts w:ascii="Trebuchet MS" w:eastAsia="Trebuchet MS" w:hAnsi="Trebuchet MS" w:cs="Trebuchet MS"/>
          <w:sz w:val="24"/>
          <w:szCs w:val="24"/>
        </w:rPr>
      </w:pPr>
    </w:p>
    <w:p w:rsidR="00551932" w:rsidRDefault="00BB3EBF">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5. Medios disponibles para que puedas manifestar tu negativa al tratamiento de datos personales que requieren de tu consentimiento (Derechos ARCO)</w:t>
      </w:r>
    </w:p>
    <w:p w:rsidR="00551932" w:rsidRDefault="00BB3EBF">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Usted puede solicitar ante el Instituto Electoral el Acceso, Rectificación, Cancelación u Oposición del consentimiento de sus datos personales, mediante la presentación de solicitud de ejercicio de derechos ARCO, ante la Dirección de Transparencia y Acceso a la Información Pública del Instituto Electoral, ubicada en calle  Parque de las Estrellas 2764, colonia Jardines del Bosque Centro, CP 44520, en Guadalajara, Jalisco, o bien en el correo electrónico </w:t>
      </w:r>
      <w:hyperlink r:id="rId7">
        <w:r>
          <w:rPr>
            <w:rFonts w:ascii="Trebuchet MS" w:eastAsia="Trebuchet MS" w:hAnsi="Trebuchet MS" w:cs="Trebuchet MS"/>
            <w:color w:val="0563C1"/>
            <w:sz w:val="24"/>
            <w:szCs w:val="24"/>
            <w:u w:val="single"/>
          </w:rPr>
          <w:t>transparencia@iepcjalisco.org.mx</w:t>
        </w:r>
      </w:hyperlink>
      <w:r>
        <w:rPr>
          <w:rFonts w:ascii="Trebuchet MS" w:eastAsia="Trebuchet MS" w:hAnsi="Trebuchet MS" w:cs="Trebuchet MS"/>
          <w:color w:val="0563C1"/>
          <w:sz w:val="24"/>
          <w:szCs w:val="24"/>
          <w:u w:val="single"/>
        </w:rPr>
        <w:t xml:space="preserve"> </w:t>
      </w:r>
      <w:r>
        <w:rPr>
          <w:rFonts w:ascii="Trebuchet MS" w:eastAsia="Trebuchet MS" w:hAnsi="Trebuchet MS" w:cs="Trebuchet MS"/>
          <w:sz w:val="24"/>
          <w:szCs w:val="24"/>
        </w:rPr>
        <w:t xml:space="preserve">o, a través de la Plataforma Nacional de Transparencia. </w:t>
      </w:r>
      <w:hyperlink r:id="rId8">
        <w:r>
          <w:rPr>
            <w:rFonts w:ascii="Trebuchet MS" w:eastAsia="Trebuchet MS" w:hAnsi="Trebuchet MS" w:cs="Trebuchet MS"/>
            <w:color w:val="0563C1"/>
            <w:sz w:val="24"/>
            <w:szCs w:val="24"/>
            <w:u w:val="single"/>
          </w:rPr>
          <w:t>www.plataformadetransparencia.org.mx</w:t>
        </w:r>
      </w:hyperlink>
      <w:r>
        <w:rPr>
          <w:rFonts w:ascii="Trebuchet MS" w:eastAsia="Trebuchet MS" w:hAnsi="Trebuchet MS" w:cs="Trebuchet MS"/>
          <w:sz w:val="24"/>
          <w:szCs w:val="24"/>
        </w:rPr>
        <w:t xml:space="preserve">  y/o Sistema Infomex Jalisco </w:t>
      </w:r>
      <w:hyperlink r:id="rId9">
        <w:r>
          <w:rPr>
            <w:rFonts w:ascii="Trebuchet MS" w:eastAsia="Trebuchet MS" w:hAnsi="Trebuchet MS" w:cs="Trebuchet MS"/>
            <w:color w:val="0563C1"/>
            <w:sz w:val="24"/>
            <w:szCs w:val="24"/>
            <w:u w:val="single"/>
          </w:rPr>
          <w:t>https://www.infomexjalisco.org.mx/InfomexJalisco/</w:t>
        </w:r>
      </w:hyperlink>
      <w:r>
        <w:rPr>
          <w:rFonts w:ascii="Trebuchet MS" w:eastAsia="Trebuchet MS" w:hAnsi="Trebuchet MS" w:cs="Trebuchet MS"/>
          <w:sz w:val="24"/>
          <w:szCs w:val="24"/>
        </w:rPr>
        <w:t xml:space="preserve"> </w:t>
      </w:r>
    </w:p>
    <w:p w:rsidR="00551932" w:rsidRDefault="00551932">
      <w:pPr>
        <w:spacing w:after="0" w:line="276" w:lineRule="auto"/>
        <w:jc w:val="both"/>
        <w:rPr>
          <w:rFonts w:ascii="Trebuchet MS" w:eastAsia="Trebuchet MS" w:hAnsi="Trebuchet MS" w:cs="Trebuchet MS"/>
          <w:sz w:val="24"/>
          <w:szCs w:val="24"/>
        </w:rPr>
      </w:pPr>
    </w:p>
    <w:p w:rsidR="00551932" w:rsidRDefault="00BB3EBF">
      <w:pPr>
        <w:spacing w:after="0" w:line="276"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6. Aviso de Privacidad Integral</w:t>
      </w:r>
    </w:p>
    <w:p w:rsidR="00551932" w:rsidRDefault="00BB3EBF">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Si desea conocer nuestro Aviso de Privacidad Integral lo podrá consultar a través del siguiente hipervínculo: </w:t>
      </w:r>
      <w:r>
        <w:rPr>
          <w:rFonts w:ascii="Trebuchet MS" w:eastAsia="Trebuchet MS" w:hAnsi="Trebuchet MS" w:cs="Trebuchet MS"/>
          <w:color w:val="0563C1"/>
          <w:sz w:val="24"/>
          <w:szCs w:val="24"/>
          <w:u w:val="single"/>
        </w:rPr>
        <w:t xml:space="preserve"> </w:t>
      </w:r>
      <w:hyperlink r:id="rId10">
        <w:r>
          <w:rPr>
            <w:rFonts w:ascii="Trebuchet MS" w:eastAsia="Trebuchet MS" w:hAnsi="Trebuchet MS" w:cs="Trebuchet MS"/>
            <w:color w:val="0563C1"/>
            <w:sz w:val="24"/>
            <w:szCs w:val="24"/>
            <w:u w:val="single"/>
          </w:rPr>
          <w:t>http://www.iepcjalisco.org.mx/sites/default/files/avisos/AVISO%20DE%20PRIVACIDAD.pdf</w:t>
        </w:r>
      </w:hyperlink>
      <w:r>
        <w:rPr>
          <w:rFonts w:ascii="Trebuchet MS" w:eastAsia="Trebuchet MS" w:hAnsi="Trebuchet MS" w:cs="Trebuchet MS"/>
          <w:sz w:val="24"/>
          <w:szCs w:val="24"/>
        </w:rPr>
        <w:t xml:space="preserve"> o bien de manera presencial en nuestras instalaciones.</w:t>
      </w: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551932">
      <w:pPr>
        <w:spacing w:after="0" w:line="276" w:lineRule="auto"/>
        <w:jc w:val="both"/>
        <w:rPr>
          <w:rFonts w:ascii="Trebuchet MS" w:eastAsia="Trebuchet MS" w:hAnsi="Trebuchet MS" w:cs="Trebuchet MS"/>
          <w:color w:val="0563C1"/>
          <w:sz w:val="24"/>
          <w:szCs w:val="24"/>
          <w:u w:val="single"/>
        </w:rPr>
      </w:pPr>
    </w:p>
    <w:p w:rsidR="00551932" w:rsidRDefault="00BB3EBF">
      <w:pPr>
        <w:spacing w:after="0" w:line="240" w:lineRule="auto"/>
        <w:jc w:val="right"/>
        <w:rPr>
          <w:rFonts w:ascii="Trebuchet MS" w:eastAsia="Trebuchet MS" w:hAnsi="Trebuchet MS" w:cs="Trebuchet MS"/>
          <w:sz w:val="18"/>
          <w:szCs w:val="18"/>
        </w:rPr>
      </w:pPr>
      <w:r>
        <w:rPr>
          <w:rFonts w:ascii="Trebuchet MS" w:eastAsia="Trebuchet MS" w:hAnsi="Trebuchet MS" w:cs="Trebuchet MS"/>
          <w:sz w:val="18"/>
          <w:szCs w:val="18"/>
        </w:rPr>
        <w:t>Fecha de última actualización: 31 de diciembre de 2020.</w:t>
      </w:r>
    </w:p>
    <w:sectPr w:rsidR="00551932">
      <w:headerReference w:type="default" r:id="rId11"/>
      <w:footerReference w:type="default" r:id="rId12"/>
      <w:pgSz w:w="12240" w:h="15840"/>
      <w:pgMar w:top="1560" w:right="1701" w:bottom="1276"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BF" w:rsidRDefault="00BB3EBF">
      <w:pPr>
        <w:spacing w:after="0" w:line="240" w:lineRule="auto"/>
      </w:pPr>
      <w:r>
        <w:separator/>
      </w:r>
    </w:p>
  </w:endnote>
  <w:endnote w:type="continuationSeparator" w:id="0">
    <w:p w:rsidR="00BB3EBF" w:rsidRDefault="00BB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32" w:rsidRDefault="00BB3EBF">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14"/>
        <w:szCs w:val="14"/>
      </w:rPr>
    </w:pPr>
    <w:r>
      <w:rPr>
        <w:rFonts w:ascii="Trebuchet MS" w:eastAsia="Trebuchet MS" w:hAnsi="Trebuchet MS" w:cs="Trebuchet MS"/>
        <w:color w:val="000000"/>
        <w:sz w:val="14"/>
        <w:szCs w:val="14"/>
      </w:rPr>
      <w:t xml:space="preserve">Página </w:t>
    </w:r>
    <w:r>
      <w:rPr>
        <w:rFonts w:ascii="Trebuchet MS" w:eastAsia="Trebuchet MS" w:hAnsi="Trebuchet MS" w:cs="Trebuchet MS"/>
        <w:b/>
        <w:color w:val="000000"/>
        <w:sz w:val="14"/>
        <w:szCs w:val="14"/>
      </w:rPr>
      <w:fldChar w:fldCharType="begin"/>
    </w:r>
    <w:r>
      <w:rPr>
        <w:rFonts w:ascii="Trebuchet MS" w:eastAsia="Trebuchet MS" w:hAnsi="Trebuchet MS" w:cs="Trebuchet MS"/>
        <w:b/>
        <w:color w:val="000000"/>
        <w:sz w:val="14"/>
        <w:szCs w:val="14"/>
      </w:rPr>
      <w:instrText>PAGE</w:instrText>
    </w:r>
    <w:r>
      <w:rPr>
        <w:rFonts w:ascii="Trebuchet MS" w:eastAsia="Trebuchet MS" w:hAnsi="Trebuchet MS" w:cs="Trebuchet MS"/>
        <w:b/>
        <w:color w:val="000000"/>
        <w:sz w:val="14"/>
        <w:szCs w:val="14"/>
      </w:rPr>
      <w:fldChar w:fldCharType="separate"/>
    </w:r>
    <w:r w:rsidR="00596CD6">
      <w:rPr>
        <w:rFonts w:ascii="Trebuchet MS" w:eastAsia="Trebuchet MS" w:hAnsi="Trebuchet MS" w:cs="Trebuchet MS"/>
        <w:b/>
        <w:noProof/>
        <w:color w:val="000000"/>
        <w:sz w:val="14"/>
        <w:szCs w:val="14"/>
      </w:rPr>
      <w:t>1</w:t>
    </w:r>
    <w:r>
      <w:rPr>
        <w:rFonts w:ascii="Trebuchet MS" w:eastAsia="Trebuchet MS" w:hAnsi="Trebuchet MS" w:cs="Trebuchet MS"/>
        <w:b/>
        <w:color w:val="000000"/>
        <w:sz w:val="14"/>
        <w:szCs w:val="14"/>
      </w:rPr>
      <w:fldChar w:fldCharType="end"/>
    </w:r>
    <w:r>
      <w:rPr>
        <w:rFonts w:ascii="Trebuchet MS" w:eastAsia="Trebuchet MS" w:hAnsi="Trebuchet MS" w:cs="Trebuchet MS"/>
        <w:color w:val="000000"/>
        <w:sz w:val="14"/>
        <w:szCs w:val="14"/>
      </w:rPr>
      <w:t xml:space="preserve"> de </w:t>
    </w:r>
    <w:r>
      <w:rPr>
        <w:rFonts w:ascii="Trebuchet MS" w:eastAsia="Trebuchet MS" w:hAnsi="Trebuchet MS" w:cs="Trebuchet MS"/>
        <w:b/>
        <w:color w:val="000000"/>
        <w:sz w:val="14"/>
        <w:szCs w:val="14"/>
      </w:rPr>
      <w:fldChar w:fldCharType="begin"/>
    </w:r>
    <w:r>
      <w:rPr>
        <w:rFonts w:ascii="Trebuchet MS" w:eastAsia="Trebuchet MS" w:hAnsi="Trebuchet MS" w:cs="Trebuchet MS"/>
        <w:b/>
        <w:color w:val="000000"/>
        <w:sz w:val="14"/>
        <w:szCs w:val="14"/>
      </w:rPr>
      <w:instrText>NUMPAGES</w:instrText>
    </w:r>
    <w:r>
      <w:rPr>
        <w:rFonts w:ascii="Trebuchet MS" w:eastAsia="Trebuchet MS" w:hAnsi="Trebuchet MS" w:cs="Trebuchet MS"/>
        <w:b/>
        <w:color w:val="000000"/>
        <w:sz w:val="14"/>
        <w:szCs w:val="14"/>
      </w:rPr>
      <w:fldChar w:fldCharType="separate"/>
    </w:r>
    <w:r w:rsidR="00596CD6">
      <w:rPr>
        <w:rFonts w:ascii="Trebuchet MS" w:eastAsia="Trebuchet MS" w:hAnsi="Trebuchet MS" w:cs="Trebuchet MS"/>
        <w:b/>
        <w:noProof/>
        <w:color w:val="000000"/>
        <w:sz w:val="14"/>
        <w:szCs w:val="14"/>
      </w:rPr>
      <w:t>4</w:t>
    </w:r>
    <w:r>
      <w:rPr>
        <w:rFonts w:ascii="Trebuchet MS" w:eastAsia="Trebuchet MS" w:hAnsi="Trebuchet MS" w:cs="Trebuchet MS"/>
        <w:b/>
        <w:color w:val="000000"/>
        <w:sz w:val="14"/>
        <w:szCs w:val="14"/>
      </w:rPr>
      <w:fldChar w:fldCharType="end"/>
    </w:r>
  </w:p>
  <w:p w:rsidR="00BD0006" w:rsidRDefault="00BD0006">
    <w:pPr>
      <w:pBdr>
        <w:top w:val="nil"/>
        <w:left w:val="nil"/>
        <w:bottom w:val="nil"/>
        <w:right w:val="nil"/>
        <w:between w:val="nil"/>
      </w:pBdr>
      <w:tabs>
        <w:tab w:val="center" w:pos="4419"/>
        <w:tab w:val="right" w:pos="8838"/>
      </w:tabs>
      <w:spacing w:after="0" w:line="240" w:lineRule="auto"/>
      <w:jc w:val="right"/>
      <w:rPr>
        <w:color w:val="000000"/>
      </w:rPr>
    </w:pPr>
    <w:r>
      <w:rPr>
        <w:rFonts w:ascii="Trebuchet MS" w:eastAsia="Trebuchet MS" w:hAnsi="Trebuchet MS" w:cs="Trebuchet MS"/>
        <w:b/>
        <w:color w:val="000000"/>
        <w:sz w:val="14"/>
        <w:szCs w:val="14"/>
      </w:rPr>
      <w:t>31 de diciembre de 2020</w:t>
    </w:r>
  </w:p>
  <w:p w:rsidR="00551932" w:rsidRDefault="0055193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BF" w:rsidRDefault="00BB3EBF">
      <w:pPr>
        <w:spacing w:after="0" w:line="240" w:lineRule="auto"/>
      </w:pPr>
      <w:r>
        <w:separator/>
      </w:r>
    </w:p>
  </w:footnote>
  <w:footnote w:type="continuationSeparator" w:id="0">
    <w:p w:rsidR="00BB3EBF" w:rsidRDefault="00BB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32" w:rsidRDefault="00BB3EB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margin">
            <wp:posOffset>-370686</wp:posOffset>
          </wp:positionH>
          <wp:positionV relativeFrom="paragraph">
            <wp:posOffset>-213096</wp:posOffset>
          </wp:positionV>
          <wp:extent cx="1153521" cy="63086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3521" cy="63086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427"/>
    <w:multiLevelType w:val="multilevel"/>
    <w:tmpl w:val="39C49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175631"/>
    <w:multiLevelType w:val="multilevel"/>
    <w:tmpl w:val="9E2A499E"/>
    <w:lvl w:ilvl="0">
      <w:start w:val="12"/>
      <w:numFmt w:val="bullet"/>
      <w:lvlText w:val="-"/>
      <w:lvlJc w:val="left"/>
      <w:pPr>
        <w:ind w:left="420" w:hanging="360"/>
      </w:pPr>
      <w:rPr>
        <w:rFonts w:ascii="Helvetica Neue" w:eastAsia="Helvetica Neue" w:hAnsi="Helvetica Neue" w:cs="Helvetica Neue"/>
        <w:color w:val="333333"/>
        <w:sz w:val="21"/>
        <w:szCs w:val="21"/>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32"/>
    <w:rsid w:val="00551932"/>
    <w:rsid w:val="00596CD6"/>
    <w:rsid w:val="00BB3EBF"/>
    <w:rsid w:val="00BD0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4AF0-E01C-40F2-813C-63C53BE5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2968"/>
    <w:rPr>
      <w:color w:val="0563C1" w:themeColor="hyperlink"/>
      <w:u w:val="single"/>
    </w:rPr>
  </w:style>
  <w:style w:type="character" w:customStyle="1" w:styleId="Mencinsinresolver1">
    <w:name w:val="Mención sin resolver1"/>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34"/>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epcjalisco.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pcjalisco.org.mx/sites/default/files/avisos/AVISO%20DE%20PRIVACIDAD.pdf" TargetMode="External"/><Relationship Id="rId4" Type="http://schemas.openxmlformats.org/officeDocument/2006/relationships/webSettings" Target="webSettings.xml"/><Relationship Id="rId9" Type="http://schemas.openxmlformats.org/officeDocument/2006/relationships/hyperlink" Target="https://www.infomexjalisco.org.mx/InfomexJalis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Angelina Saldivar Rebollosa</dc:creator>
  <cp:lastModifiedBy>Luz Angelina Saldivar Rebollosa</cp:lastModifiedBy>
  <cp:revision>2</cp:revision>
  <dcterms:created xsi:type="dcterms:W3CDTF">2021-09-28T22:08:00Z</dcterms:created>
  <dcterms:modified xsi:type="dcterms:W3CDTF">2021-09-28T22:08:00Z</dcterms:modified>
</cp:coreProperties>
</file>