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499" w:rsidRPr="008D2C95" w:rsidRDefault="00592499" w:rsidP="00592499">
      <w:pPr>
        <w:jc w:val="both"/>
        <w:rPr>
          <w:rFonts w:ascii="Trebuchet MS" w:hAnsi="Trebuchet MS"/>
          <w:b/>
          <w:sz w:val="24"/>
        </w:rPr>
      </w:pPr>
      <w:r w:rsidRPr="008D2C95">
        <w:rPr>
          <w:rFonts w:ascii="Trebuchet MS" w:hAnsi="Trebuchet MS"/>
          <w:b/>
          <w:sz w:val="24"/>
        </w:rPr>
        <w:t>INFORME QUE RINDE EL DIRECTOR DE ORGANIZACIÓN ELECTORAL ANTE LA COMISIÓN DE ORGANIZACIÓN DEL CONSEJO GENERAL DE ESTE INSTITUTO ELECTORAL Y DE PARTICIPACIÓN CIUDADANA EN MATERIA DE AVANCES EN LOS PUNTOS QUE A CONTINUACIÓN SE DESCRIBE.</w:t>
      </w:r>
    </w:p>
    <w:p w:rsidR="001012BD" w:rsidRPr="00592499" w:rsidRDefault="001012BD" w:rsidP="00BD7F60">
      <w:pPr>
        <w:spacing w:line="360" w:lineRule="auto"/>
        <w:rPr>
          <w:rFonts w:ascii="Trebuchet MS" w:hAnsi="Trebuchet MS"/>
          <w:sz w:val="24"/>
        </w:rPr>
      </w:pPr>
    </w:p>
    <w:p w:rsidR="00592499" w:rsidRDefault="00592499" w:rsidP="00BD7F60">
      <w:pPr>
        <w:spacing w:line="360" w:lineRule="auto"/>
        <w:rPr>
          <w:rFonts w:ascii="Trebuchet MS" w:hAnsi="Trebuchet MS"/>
          <w:sz w:val="24"/>
        </w:rPr>
      </w:pPr>
      <w:r w:rsidRPr="00592499">
        <w:rPr>
          <w:rFonts w:ascii="Trebuchet MS" w:hAnsi="Trebuchet MS"/>
          <w:sz w:val="24"/>
        </w:rPr>
        <w:t>Orden del día, punto 2</w:t>
      </w:r>
    </w:p>
    <w:p w:rsidR="00592499" w:rsidRPr="00417880" w:rsidRDefault="00592499" w:rsidP="00BD7F60">
      <w:pPr>
        <w:spacing w:line="360" w:lineRule="auto"/>
        <w:rPr>
          <w:rFonts w:ascii="Trebuchet MS" w:hAnsi="Trebuchet MS"/>
          <w:b/>
          <w:sz w:val="24"/>
        </w:rPr>
      </w:pPr>
      <w:r w:rsidRPr="00417880">
        <w:rPr>
          <w:rFonts w:ascii="Trebuchet MS" w:hAnsi="Trebuchet MS"/>
          <w:b/>
          <w:sz w:val="24"/>
        </w:rPr>
        <w:t>Seguimiento de las actividades de la Asistencia Electoral en el proceso electoral concurrente 2017-2018</w:t>
      </w:r>
    </w:p>
    <w:p w:rsidR="00592499" w:rsidRDefault="00417880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ab/>
        <w:t xml:space="preserve">Como parte fundamental al seguimiento de las actividades, la convocatoria que se difundió en el mes de abril hasta el 11 de mayo del año en curso, para el </w:t>
      </w:r>
      <w:r w:rsidR="00CA240B">
        <w:rPr>
          <w:rFonts w:ascii="Trebuchet MS" w:hAnsi="Trebuchet MS"/>
          <w:sz w:val="24"/>
        </w:rPr>
        <w:t>reclutamiento</w:t>
      </w:r>
      <w:r>
        <w:rPr>
          <w:rFonts w:ascii="Trebuchet MS" w:hAnsi="Trebuchet MS"/>
          <w:sz w:val="24"/>
        </w:rPr>
        <w:t xml:space="preserve"> y selección de </w:t>
      </w:r>
      <w:r w:rsidR="00CA240B">
        <w:rPr>
          <w:rFonts w:ascii="Trebuchet MS" w:hAnsi="Trebuchet MS"/>
          <w:sz w:val="24"/>
        </w:rPr>
        <w:t>las figuras operativas de: Supervisores y Capacitadores-Asistentes Electorales,</w:t>
      </w:r>
      <w:r>
        <w:rPr>
          <w:rFonts w:ascii="Trebuchet MS" w:hAnsi="Trebuchet MS"/>
          <w:sz w:val="24"/>
        </w:rPr>
        <w:t xml:space="preserve"> se obtuvieron los siguientes resultados: </w:t>
      </w:r>
    </w:p>
    <w:p w:rsidR="00417880" w:rsidRDefault="00417880" w:rsidP="00BD7F60">
      <w:pPr>
        <w:spacing w:line="360" w:lineRule="auto"/>
        <w:jc w:val="both"/>
        <w:rPr>
          <w:rFonts w:ascii="Trebuchet MS" w:hAnsi="Trebuchet MS"/>
          <w:sz w:val="24"/>
        </w:rPr>
      </w:pPr>
      <w:r w:rsidRPr="00B717FB">
        <w:rPr>
          <w:rFonts w:ascii="Trebuchet MS" w:hAnsi="Trebuchet MS"/>
          <w:b/>
          <w:sz w:val="24"/>
        </w:rPr>
        <w:t>No. de Solicitudes</w:t>
      </w:r>
      <w:r>
        <w:rPr>
          <w:rFonts w:ascii="Trebuchet MS" w:hAnsi="Trebuchet MS"/>
          <w:sz w:val="24"/>
        </w:rPr>
        <w:t>: 3,095 aproximadamente</w:t>
      </w:r>
    </w:p>
    <w:p w:rsidR="00417880" w:rsidRDefault="00417880" w:rsidP="00BD7F60">
      <w:pPr>
        <w:spacing w:line="360" w:lineRule="auto"/>
        <w:jc w:val="both"/>
        <w:rPr>
          <w:rFonts w:ascii="Trebuchet MS" w:hAnsi="Trebuchet MS"/>
          <w:sz w:val="24"/>
        </w:rPr>
      </w:pPr>
      <w:r w:rsidRPr="00B717FB">
        <w:rPr>
          <w:rFonts w:ascii="Trebuchet MS" w:hAnsi="Trebuchet MS"/>
          <w:b/>
          <w:sz w:val="24"/>
        </w:rPr>
        <w:t>No. de Asistentes al examen</w:t>
      </w:r>
      <w:r>
        <w:rPr>
          <w:rFonts w:ascii="Trebuchet MS" w:hAnsi="Trebuchet MS"/>
          <w:sz w:val="24"/>
        </w:rPr>
        <w:t>: 2,553 aproximadamente</w:t>
      </w:r>
    </w:p>
    <w:p w:rsidR="00417880" w:rsidRDefault="00417880" w:rsidP="00417880">
      <w:pPr>
        <w:jc w:val="both"/>
        <w:rPr>
          <w:rFonts w:ascii="Trebuchet MS" w:hAnsi="Trebuchet MS"/>
          <w:sz w:val="24"/>
        </w:rPr>
      </w:pPr>
      <w:r w:rsidRPr="00417880">
        <w:drawing>
          <wp:inline distT="0" distB="0" distL="0" distR="0">
            <wp:extent cx="5612130" cy="402296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0B" w:rsidRDefault="00CA240B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Es importante señalar que el proceso de selección considero cuatro etapas: Evaluación curricular (del 16 de abril al 11 de mayo), Plática de inducción 16 de abril al 12 de mayo), Examen (12 y 25 de mayo) y Entrevista</w:t>
      </w:r>
      <w:r w:rsidR="006142FD">
        <w:rPr>
          <w:rFonts w:ascii="Trebuchet MS" w:hAnsi="Trebuchet MS"/>
          <w:sz w:val="24"/>
        </w:rPr>
        <w:t xml:space="preserve"> (SE del 17 al 21 de mayo; CAEL del 22 al 28 de mayo)</w:t>
      </w:r>
      <w:r>
        <w:rPr>
          <w:rFonts w:ascii="Trebuchet MS" w:hAnsi="Trebuchet MS"/>
          <w:sz w:val="24"/>
        </w:rPr>
        <w:t>; por la falta de participación la convocatoria tuvo una extensión al 24 de mayo para la recepción de solicitudes, el pasado 25 de mayo se aplicó el examen correspondiente.</w:t>
      </w:r>
    </w:p>
    <w:p w:rsidR="00592499" w:rsidRDefault="00CA240B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A través de la Secretaria Ejecutiva se hizo del conocimiento el número de supervisores y capacitadores que se requieren en cada uno de los distritos electorales, </w:t>
      </w:r>
      <w:r w:rsidR="006142FD">
        <w:rPr>
          <w:rFonts w:ascii="Trebuchet MS" w:hAnsi="Trebuchet MS"/>
          <w:sz w:val="24"/>
        </w:rPr>
        <w:t>para su consideración en la asignación de figuras operativas.</w:t>
      </w:r>
    </w:p>
    <w:p w:rsidR="00592499" w:rsidRPr="00B717FB" w:rsidRDefault="00592499" w:rsidP="00BD7F60">
      <w:pPr>
        <w:spacing w:line="360" w:lineRule="auto"/>
        <w:rPr>
          <w:rFonts w:ascii="Trebuchet MS" w:hAnsi="Trebuchet MS"/>
          <w:b/>
          <w:sz w:val="24"/>
        </w:rPr>
      </w:pPr>
      <w:r w:rsidRPr="00B717FB">
        <w:rPr>
          <w:rFonts w:ascii="Trebuchet MS" w:hAnsi="Trebuchet MS"/>
          <w:b/>
          <w:sz w:val="24"/>
        </w:rPr>
        <w:t>Cronograma de actividades</w:t>
      </w:r>
    </w:p>
    <w:p w:rsidR="00592499" w:rsidRDefault="006142FD" w:rsidP="00BD7F60">
      <w:pPr>
        <w:spacing w:line="360" w:lineRule="auto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Considerando que las figuras operativas serán contratadas por un periodo de mes y medios (del 01 de junio al 15 de julio</w:t>
      </w:r>
      <w:r w:rsidR="00B717FB">
        <w:rPr>
          <w:rFonts w:ascii="Trebuchet MS" w:hAnsi="Trebuchet MS"/>
          <w:sz w:val="24"/>
        </w:rPr>
        <w:t xml:space="preserve"> 2018</w:t>
      </w:r>
      <w:r>
        <w:rPr>
          <w:rFonts w:ascii="Trebuchet MS" w:hAnsi="Trebuchet MS"/>
          <w:sz w:val="24"/>
        </w:rPr>
        <w:t>)</w:t>
      </w:r>
    </w:p>
    <w:p w:rsidR="006142FD" w:rsidRPr="00592499" w:rsidRDefault="00B717FB">
      <w:pPr>
        <w:rPr>
          <w:rFonts w:ascii="Trebuchet MS" w:hAnsi="Trebuchet MS"/>
          <w:sz w:val="24"/>
        </w:rPr>
      </w:pPr>
      <w:r w:rsidRPr="00B717FB">
        <w:drawing>
          <wp:inline distT="0" distB="0" distL="0" distR="0">
            <wp:extent cx="5612130" cy="351277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99" w:rsidRDefault="00592499">
      <w:pPr>
        <w:rPr>
          <w:rFonts w:ascii="Trebuchet MS" w:hAnsi="Trebuchet MS"/>
          <w:sz w:val="24"/>
        </w:rPr>
      </w:pPr>
    </w:p>
    <w:p w:rsidR="00BD7F60" w:rsidRDefault="00BD7F60">
      <w:pPr>
        <w:rPr>
          <w:rFonts w:ascii="Trebuchet MS" w:hAnsi="Trebuchet MS"/>
          <w:sz w:val="24"/>
        </w:rPr>
      </w:pPr>
    </w:p>
    <w:p w:rsidR="00BD7F60" w:rsidRDefault="00BD7F60">
      <w:pPr>
        <w:rPr>
          <w:rFonts w:ascii="Trebuchet MS" w:hAnsi="Trebuchet MS"/>
          <w:sz w:val="24"/>
        </w:rPr>
      </w:pPr>
    </w:p>
    <w:p w:rsidR="00B717FB" w:rsidRDefault="00B717FB" w:rsidP="00BD7F60">
      <w:pPr>
        <w:spacing w:line="360" w:lineRule="auto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Orden del día, punto 3</w:t>
      </w:r>
    </w:p>
    <w:p w:rsidR="00B717FB" w:rsidRPr="003E6B7D" w:rsidRDefault="00B717FB" w:rsidP="00BD7F60">
      <w:pPr>
        <w:spacing w:line="360" w:lineRule="auto"/>
        <w:rPr>
          <w:rFonts w:ascii="Trebuchet MS" w:hAnsi="Trebuchet MS"/>
          <w:b/>
          <w:sz w:val="24"/>
        </w:rPr>
      </w:pPr>
      <w:r w:rsidRPr="003E6B7D">
        <w:rPr>
          <w:rFonts w:ascii="Trebuchet MS" w:hAnsi="Trebuchet MS"/>
          <w:b/>
          <w:sz w:val="24"/>
        </w:rPr>
        <w:t>Informe didáctico</w:t>
      </w:r>
      <w:r w:rsidR="003E6B7D" w:rsidRPr="003E6B7D">
        <w:rPr>
          <w:rFonts w:ascii="Trebuchet MS" w:hAnsi="Trebuchet MS"/>
          <w:b/>
          <w:sz w:val="24"/>
        </w:rPr>
        <w:t xml:space="preserve"> sobre mecanismos de recolección</w:t>
      </w:r>
    </w:p>
    <w:p w:rsidR="003E6B7D" w:rsidRDefault="003E6B7D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Se aprobaron 2,080 DAT; 239 </w:t>
      </w:r>
      <w:proofErr w:type="spellStart"/>
      <w:r>
        <w:rPr>
          <w:rFonts w:ascii="Trebuchet MS" w:hAnsi="Trebuchet MS"/>
          <w:sz w:val="24"/>
        </w:rPr>
        <w:t>CRyT</w:t>
      </w:r>
      <w:proofErr w:type="spellEnd"/>
      <w:r>
        <w:rPr>
          <w:rFonts w:ascii="Trebuchet MS" w:hAnsi="Trebuchet MS"/>
          <w:sz w:val="24"/>
        </w:rPr>
        <w:t xml:space="preserve"> Itinerante y 111 </w:t>
      </w:r>
      <w:proofErr w:type="spellStart"/>
      <w:r>
        <w:rPr>
          <w:rFonts w:ascii="Trebuchet MS" w:hAnsi="Trebuchet MS"/>
          <w:sz w:val="24"/>
        </w:rPr>
        <w:t>CRyT</w:t>
      </w:r>
      <w:proofErr w:type="spellEnd"/>
      <w:r>
        <w:rPr>
          <w:rFonts w:ascii="Trebuchet MS" w:hAnsi="Trebuchet MS"/>
          <w:sz w:val="24"/>
        </w:rPr>
        <w:t xml:space="preserve"> Fijos</w:t>
      </w:r>
    </w:p>
    <w:p w:rsidR="003E6B7D" w:rsidRDefault="003E6B7D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En siete distritos los mecanismos serán diferentes mientras que en 13 vamos iguales tanto consejos distritales como juntas distritales, a parte se aplicaran 107 mecanismos internos que involucran las tareas de los centros de acopio y la participación de los consejos municipales.</w:t>
      </w:r>
    </w:p>
    <w:p w:rsidR="003E6B7D" w:rsidRDefault="003E6B7D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3E6B7D" w:rsidRDefault="003E6B7D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Se implementaran cuatro estrategias de repliegues:</w:t>
      </w:r>
    </w:p>
    <w:p w:rsidR="003E6B7D" w:rsidRDefault="003E6B7D" w:rsidP="003E6B7D">
      <w:pPr>
        <w:jc w:val="both"/>
        <w:rPr>
          <w:rFonts w:ascii="Trebuchet MS" w:hAnsi="Trebuchet MS"/>
          <w:sz w:val="24"/>
        </w:rPr>
      </w:pPr>
      <w:r w:rsidRPr="003E6B7D">
        <w:rPr>
          <w:rFonts w:ascii="Trebuchet MS" w:hAnsi="Trebuchet MS"/>
          <w:sz w:val="24"/>
        </w:rPr>
        <w:drawing>
          <wp:inline distT="0" distB="0" distL="0" distR="0" wp14:anchorId="0C6B69C8" wp14:editId="508FCA49">
            <wp:extent cx="5612130" cy="2835910"/>
            <wp:effectExtent l="0" t="0" r="7620" b="254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7D" w:rsidRDefault="003E6B7D" w:rsidP="003E6B7D">
      <w:pPr>
        <w:jc w:val="both"/>
        <w:rPr>
          <w:rFonts w:ascii="Trebuchet MS" w:hAnsi="Trebuchet MS"/>
          <w:sz w:val="24"/>
        </w:rPr>
      </w:pPr>
    </w:p>
    <w:p w:rsidR="003E6B7D" w:rsidRDefault="003E6B7D" w:rsidP="003E6B7D">
      <w:pPr>
        <w:jc w:val="both"/>
        <w:rPr>
          <w:rFonts w:ascii="Trebuchet MS" w:hAnsi="Trebuchet MS"/>
          <w:sz w:val="24"/>
        </w:rPr>
      </w:pPr>
      <w:r w:rsidRPr="003E6B7D">
        <w:rPr>
          <w:rFonts w:ascii="Trebuchet MS" w:hAnsi="Trebuchet MS"/>
          <w:sz w:val="24"/>
        </w:rPr>
        <w:lastRenderedPageBreak/>
        <w:drawing>
          <wp:inline distT="0" distB="0" distL="0" distR="0" wp14:anchorId="38BC268E" wp14:editId="47B3C72E">
            <wp:extent cx="5612130" cy="2773045"/>
            <wp:effectExtent l="0" t="0" r="7620" b="825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7D" w:rsidRDefault="003E6B7D" w:rsidP="003E6B7D">
      <w:pPr>
        <w:jc w:val="both"/>
        <w:rPr>
          <w:rFonts w:ascii="Trebuchet MS" w:hAnsi="Trebuchet MS"/>
          <w:sz w:val="24"/>
        </w:rPr>
      </w:pP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  <w:r w:rsidRPr="00BD7F60">
        <w:rPr>
          <w:rFonts w:ascii="Trebuchet MS" w:hAnsi="Trebuchet MS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D482E" wp14:editId="22B6E14F">
                <wp:simplePos x="0" y="0"/>
                <wp:positionH relativeFrom="column">
                  <wp:posOffset>387985</wp:posOffset>
                </wp:positionH>
                <wp:positionV relativeFrom="paragraph">
                  <wp:posOffset>61595</wp:posOffset>
                </wp:positionV>
                <wp:extent cx="5226341" cy="369332"/>
                <wp:effectExtent l="0" t="0" r="0" b="0"/>
                <wp:wrapNone/>
                <wp:docPr id="7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34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7F60" w:rsidRDefault="00BD7F60" w:rsidP="00BD7F6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BD7F6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Este caso también aplica en las cabeceras distritales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D482E" id="_x0000_t202" coordsize="21600,21600" o:spt="202" path="m,l,21600r21600,l21600,xe">
                <v:stroke joinstyle="miter"/>
                <v:path gradientshapeok="t" o:connecttype="rect"/>
              </v:shapetype>
              <v:shape id="CuadroTexto 1" o:spid="_x0000_s1026" type="#_x0000_t202" style="position:absolute;left:0;text-align:left;margin-left:30.55pt;margin-top:4.85pt;width:411.5pt;height:2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" filled="f" stroked="f">
                <v:textbox style="mso-fit-shape-to-text:t">
                  <w:txbxContent>
                    <w:p w:rsidR="00BD7F60" w:rsidRDefault="00BD7F60" w:rsidP="00BD7F60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BD7F6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Este caso también aplica en las cabeceras distritales</w:t>
                      </w:r>
                    </w:p>
                  </w:txbxContent>
                </v:textbox>
              </v:shape>
            </w:pict>
          </mc:Fallback>
        </mc:AlternateContent>
      </w: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</w:p>
    <w:p w:rsidR="003E6B7D" w:rsidRDefault="003E6B7D" w:rsidP="003E6B7D">
      <w:pPr>
        <w:jc w:val="both"/>
        <w:rPr>
          <w:rFonts w:ascii="Trebuchet MS" w:hAnsi="Trebuchet MS"/>
          <w:sz w:val="24"/>
        </w:rPr>
      </w:pPr>
      <w:r w:rsidRPr="003E6B7D">
        <w:rPr>
          <w:rFonts w:ascii="Trebuchet MS" w:hAnsi="Trebuchet MS"/>
          <w:sz w:val="24"/>
        </w:rPr>
        <w:drawing>
          <wp:inline distT="0" distB="0" distL="0" distR="0" wp14:anchorId="0FCA3579" wp14:editId="5B720B6B">
            <wp:extent cx="5612130" cy="2911475"/>
            <wp:effectExtent l="0" t="0" r="7620" b="3175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</w:p>
    <w:p w:rsidR="003E6B7D" w:rsidRDefault="00BD7F60" w:rsidP="003E6B7D">
      <w:pPr>
        <w:jc w:val="both"/>
        <w:rPr>
          <w:rFonts w:ascii="Trebuchet MS" w:hAnsi="Trebuchet MS"/>
          <w:sz w:val="24"/>
        </w:rPr>
      </w:pPr>
      <w:r w:rsidRPr="00BD7F60">
        <w:rPr>
          <w:rFonts w:ascii="Trebuchet MS" w:hAnsi="Trebuchet MS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B1178" wp14:editId="61B9F565">
                <wp:simplePos x="0" y="0"/>
                <wp:positionH relativeFrom="column">
                  <wp:posOffset>1752600</wp:posOffset>
                </wp:positionH>
                <wp:positionV relativeFrom="paragraph">
                  <wp:posOffset>185420</wp:posOffset>
                </wp:positionV>
                <wp:extent cx="3816478" cy="369332"/>
                <wp:effectExtent l="0" t="0" r="0" b="0"/>
                <wp:wrapNone/>
                <wp:docPr id="8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47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7F60" w:rsidRDefault="00BD7F60" w:rsidP="00BD7F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D7F6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Caso único Distrito Electoral 13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B1178" id="_x0000_s1027" type="#_x0000_t202" style="position:absolute;left:0;text-align:left;margin-left:138pt;margin-top:14.6pt;width:300.5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" filled="f" stroked="f">
                <v:textbox style="mso-fit-shape-to-text:t">
                  <w:txbxContent>
                    <w:p w:rsidR="00BD7F60" w:rsidRDefault="00BD7F60" w:rsidP="00BD7F6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D7F6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Caso único Distrito Electoral 13</w:t>
                      </w:r>
                    </w:p>
                  </w:txbxContent>
                </v:textbox>
              </v:shape>
            </w:pict>
          </mc:Fallback>
        </mc:AlternateContent>
      </w:r>
    </w:p>
    <w:p w:rsidR="003E6B7D" w:rsidRDefault="003E6B7D" w:rsidP="003E6B7D">
      <w:pPr>
        <w:jc w:val="both"/>
        <w:rPr>
          <w:rFonts w:ascii="Trebuchet MS" w:hAnsi="Trebuchet MS"/>
          <w:sz w:val="24"/>
        </w:rPr>
      </w:pP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</w:p>
    <w:p w:rsidR="00BD7F60" w:rsidRDefault="00BD7F60" w:rsidP="003E6B7D">
      <w:pPr>
        <w:jc w:val="both"/>
        <w:rPr>
          <w:rFonts w:ascii="Trebuchet MS" w:hAnsi="Trebuchet MS"/>
          <w:sz w:val="24"/>
        </w:rPr>
      </w:pPr>
      <w:r w:rsidRPr="00BD7F60">
        <w:rPr>
          <w:rFonts w:ascii="Trebuchet MS" w:hAnsi="Trebuchet MS"/>
          <w:sz w:val="24"/>
        </w:rPr>
        <w:drawing>
          <wp:inline distT="0" distB="0" distL="0" distR="0" wp14:anchorId="30190F09" wp14:editId="1ECFA4DC">
            <wp:extent cx="5612130" cy="2877185"/>
            <wp:effectExtent l="0" t="0" r="762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Orden del día, Punto 4</w:t>
      </w: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Bodegas</w:t>
      </w:r>
    </w:p>
    <w:p w:rsidR="00BD7F60" w:rsidRDefault="00BD7F60" w:rsidP="00BD7F60">
      <w:pPr>
        <w:spacing w:line="360" w:lineRule="auto"/>
        <w:jc w:val="both"/>
        <w:rPr>
          <w:rFonts w:ascii="Trebuchet MS" w:hAnsi="Trebuchet MS" w:cs="Arial"/>
          <w:sz w:val="24"/>
          <w:szCs w:val="24"/>
        </w:rPr>
      </w:pPr>
      <w:r w:rsidRPr="00BD7F60">
        <w:rPr>
          <w:rFonts w:ascii="Trebuchet MS" w:hAnsi="Trebuchet MS"/>
          <w:sz w:val="24"/>
          <w:szCs w:val="24"/>
        </w:rPr>
        <w:t xml:space="preserve">Como parte integral de las bodegas que se ha presentado en sesiones anteriores, </w:t>
      </w:r>
      <w:r w:rsidRPr="00BD7F60">
        <w:rPr>
          <w:rFonts w:ascii="Trebuchet MS" w:hAnsi="Trebuchet MS" w:cs="Arial"/>
          <w:sz w:val="24"/>
          <w:szCs w:val="24"/>
        </w:rPr>
        <w:t>cumplirán con los lineamientos establecidos en el anexo 5 del Reglamento de Elecciones y atendiendo el cumplimiento de los artículos 166 y 167 sobre los lugares que ocuparán las bodegas electorales para el resguardo de la documentación y materiales electorales de las elecciones, verificando que los lugares cuenten con condiciones que garanticen la seguridad de la documentación electoral, especialmente de las boletas y de los paquetes electorales, así como el equipamiento y mecanismos de operación.</w:t>
      </w:r>
    </w:p>
    <w:p w:rsidR="00BD7F60" w:rsidRDefault="00BD7F60" w:rsidP="00BD7F60">
      <w:pPr>
        <w:spacing w:line="360" w:lineRule="auto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Los coordinadores distritales, se encuentran preparando el informe que deberán rendir en la siguiente sesión de los Consejos Municipales para ser aprobados por cada uno de los consejos.</w:t>
      </w:r>
    </w:p>
    <w:p w:rsidR="00BD7F60" w:rsidRDefault="00BD7F60" w:rsidP="00BD7F60">
      <w:pPr>
        <w:spacing w:line="360" w:lineRule="auto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lastRenderedPageBreak/>
        <w:t>Ejemplo de algunas bodegas</w:t>
      </w: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Atemajac de Brizuela</w:t>
      </w:r>
    </w:p>
    <w:p w:rsidR="00BD7F60" w:rsidRPr="00A00E92" w:rsidRDefault="00BD7F60" w:rsidP="00BD7F60">
      <w:pPr>
        <w:spacing w:after="0"/>
        <w:rPr>
          <w:rFonts w:cs="Arial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0C3759A6" wp14:editId="4276E39C">
            <wp:simplePos x="0" y="0"/>
            <wp:positionH relativeFrom="column">
              <wp:posOffset>2415540</wp:posOffset>
            </wp:positionH>
            <wp:positionV relativeFrom="paragraph">
              <wp:posOffset>-34925</wp:posOffset>
            </wp:positionV>
            <wp:extent cx="2143125" cy="28575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96" cy="285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606BB40" wp14:editId="2B4A6F73">
            <wp:simplePos x="0" y="0"/>
            <wp:positionH relativeFrom="column">
              <wp:posOffset>177164</wp:posOffset>
            </wp:positionH>
            <wp:positionV relativeFrom="paragraph">
              <wp:posOffset>3175</wp:posOffset>
            </wp:positionV>
            <wp:extent cx="2105025" cy="28067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88" cy="281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60" w:rsidRPr="00A00E92" w:rsidRDefault="00BD7F60" w:rsidP="00BD7F60">
      <w:pPr>
        <w:rPr>
          <w:rFonts w:cs="Arial"/>
          <w:szCs w:val="24"/>
        </w:rPr>
      </w:pPr>
    </w:p>
    <w:p w:rsidR="00BD7F60" w:rsidRPr="00A00E92" w:rsidRDefault="00BD7F60" w:rsidP="00BD7F60">
      <w:pPr>
        <w:rPr>
          <w:rFonts w:cs="Arial"/>
          <w:szCs w:val="24"/>
        </w:rPr>
      </w:pPr>
    </w:p>
    <w:p w:rsidR="00BD7F60" w:rsidRPr="00A00E92" w:rsidRDefault="00BD7F60" w:rsidP="00BD7F60">
      <w:pPr>
        <w:rPr>
          <w:rFonts w:cs="Arial"/>
          <w:szCs w:val="24"/>
        </w:rPr>
      </w:pPr>
    </w:p>
    <w:p w:rsidR="00BD7F60" w:rsidRPr="00A00E92" w:rsidRDefault="00BD7F60" w:rsidP="00BD7F60">
      <w:pPr>
        <w:rPr>
          <w:rFonts w:cs="Arial"/>
          <w:szCs w:val="24"/>
        </w:rPr>
      </w:pPr>
    </w:p>
    <w:p w:rsidR="00BD7F60" w:rsidRPr="00A00E92" w:rsidRDefault="00BD7F60" w:rsidP="00BD7F60">
      <w:pPr>
        <w:ind w:left="644"/>
        <w:contextualSpacing/>
        <w:rPr>
          <w:rFonts w:cs="Arial"/>
          <w:szCs w:val="24"/>
        </w:rPr>
      </w:pPr>
    </w:p>
    <w:p w:rsidR="00BD7F60" w:rsidRPr="00A00E92" w:rsidRDefault="00BD7F60" w:rsidP="00BD7F60">
      <w:pPr>
        <w:ind w:left="720"/>
        <w:contextualSpacing/>
        <w:rPr>
          <w:rFonts w:cs="Arial"/>
          <w:szCs w:val="24"/>
        </w:rPr>
      </w:pPr>
      <w:r w:rsidRPr="00A00E92">
        <w:rPr>
          <w:rFonts w:cs="Arial"/>
          <w:szCs w:val="24"/>
        </w:rPr>
        <w:t xml:space="preserve"> </w:t>
      </w:r>
    </w:p>
    <w:p w:rsidR="00BD7F60" w:rsidRPr="00A00E92" w:rsidRDefault="00BD7F60" w:rsidP="00BD7F60">
      <w:pPr>
        <w:rPr>
          <w:rFonts w:cs="Arial"/>
        </w:rPr>
      </w:pPr>
    </w:p>
    <w:p w:rsidR="00BD7F60" w:rsidRDefault="00BD7F60" w:rsidP="00BD7F60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61A26984" wp14:editId="2EB6C585">
            <wp:simplePos x="0" y="0"/>
            <wp:positionH relativeFrom="column">
              <wp:posOffset>186690</wp:posOffset>
            </wp:positionH>
            <wp:positionV relativeFrom="paragraph">
              <wp:posOffset>452755</wp:posOffset>
            </wp:positionV>
            <wp:extent cx="2114550" cy="28194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60" w:rsidRPr="00BD7F60" w:rsidRDefault="00BD7F60" w:rsidP="00BD7F60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Chapala</w:t>
      </w:r>
    </w:p>
    <w:p w:rsidR="00BD7F60" w:rsidRPr="00D5216B" w:rsidRDefault="00BD7F60" w:rsidP="00BD7F60">
      <w:pPr>
        <w:rPr>
          <w:rFonts w:cs="Arial"/>
          <w:szCs w:val="24"/>
        </w:rPr>
      </w:pPr>
    </w:p>
    <w:p w:rsidR="00BD7F60" w:rsidRPr="00D5216B" w:rsidRDefault="00BD7F60" w:rsidP="00BD7F60">
      <w:pPr>
        <w:rPr>
          <w:rFonts w:cs="Arial"/>
          <w:szCs w:val="24"/>
        </w:rPr>
      </w:pPr>
    </w:p>
    <w:p w:rsidR="00BD7F60" w:rsidRPr="00D5216B" w:rsidRDefault="00BD7F60" w:rsidP="00BD7F60">
      <w:pPr>
        <w:rPr>
          <w:rFonts w:cs="Arial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5882262" wp14:editId="629BEE27">
            <wp:simplePos x="0" y="0"/>
            <wp:positionH relativeFrom="column">
              <wp:posOffset>253365</wp:posOffset>
            </wp:positionH>
            <wp:positionV relativeFrom="paragraph">
              <wp:posOffset>115570</wp:posOffset>
            </wp:positionV>
            <wp:extent cx="1697990" cy="30194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30C453B" wp14:editId="58C8B3F6">
            <wp:simplePos x="0" y="0"/>
            <wp:positionH relativeFrom="column">
              <wp:posOffset>2872740</wp:posOffset>
            </wp:positionH>
            <wp:positionV relativeFrom="paragraph">
              <wp:posOffset>144145</wp:posOffset>
            </wp:positionV>
            <wp:extent cx="1692910" cy="3009900"/>
            <wp:effectExtent l="0" t="0" r="254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60" w:rsidRPr="00D5216B" w:rsidRDefault="00BD7F60" w:rsidP="00BD7F60">
      <w:pPr>
        <w:ind w:left="644"/>
        <w:contextualSpacing/>
        <w:rPr>
          <w:rFonts w:cs="Arial"/>
          <w:szCs w:val="24"/>
        </w:rPr>
      </w:pPr>
    </w:p>
    <w:p w:rsidR="00BD7F60" w:rsidRPr="00D5216B" w:rsidRDefault="00BD7F60" w:rsidP="00BD7F60">
      <w:pPr>
        <w:ind w:left="720"/>
        <w:contextualSpacing/>
        <w:rPr>
          <w:rFonts w:cs="Arial"/>
          <w:szCs w:val="24"/>
        </w:rPr>
      </w:pPr>
      <w:r w:rsidRPr="00D5216B">
        <w:rPr>
          <w:rFonts w:cs="Arial"/>
          <w:szCs w:val="24"/>
        </w:rPr>
        <w:t xml:space="preserve"> </w:t>
      </w: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p w:rsidR="00BD7F60" w:rsidRDefault="00C9540A" w:rsidP="00BD7F60">
      <w:pPr>
        <w:spacing w:line="360" w:lineRule="auto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Acatlán</w:t>
      </w:r>
      <w:r w:rsidR="00BD7F60">
        <w:rPr>
          <w:rFonts w:ascii="Trebuchet MS" w:hAnsi="Trebuchet MS"/>
          <w:sz w:val="24"/>
        </w:rPr>
        <w:t xml:space="preserve"> de </w:t>
      </w:r>
      <w:r>
        <w:rPr>
          <w:rFonts w:ascii="Trebuchet MS" w:hAnsi="Trebuchet MS"/>
          <w:sz w:val="24"/>
        </w:rPr>
        <w:t>Juárez</w:t>
      </w:r>
      <w:bookmarkStart w:id="0" w:name="_GoBack"/>
      <w:bookmarkEnd w:id="0"/>
    </w:p>
    <w:p w:rsidR="00BD7F60" w:rsidRPr="007245C9" w:rsidRDefault="00BD7F60" w:rsidP="00BD7F60">
      <w:pPr>
        <w:rPr>
          <w:rFonts w:cs="Arial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FB1D3BB" wp14:editId="34146581">
            <wp:simplePos x="0" y="0"/>
            <wp:positionH relativeFrom="column">
              <wp:posOffset>2396490</wp:posOffset>
            </wp:positionH>
            <wp:positionV relativeFrom="paragraph">
              <wp:posOffset>342265</wp:posOffset>
            </wp:positionV>
            <wp:extent cx="2271713" cy="30289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90" cy="3031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60" w:rsidRPr="007245C9" w:rsidRDefault="00BD7F60" w:rsidP="00BD7F60">
      <w:pPr>
        <w:rPr>
          <w:rFonts w:cs="Arial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D86E507" wp14:editId="0B0CE4E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243138" cy="2990850"/>
            <wp:effectExtent l="0" t="0" r="508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60" w:rsidRPr="007245C9" w:rsidRDefault="00BD7F60" w:rsidP="00BD7F60">
      <w:pPr>
        <w:pStyle w:val="Prrafodelista"/>
        <w:ind w:left="644"/>
        <w:rPr>
          <w:rFonts w:cs="Arial"/>
          <w:szCs w:val="24"/>
        </w:rPr>
      </w:pPr>
    </w:p>
    <w:p w:rsidR="00BD7F60" w:rsidRPr="007245C9" w:rsidRDefault="00BD7F60" w:rsidP="00BD7F60">
      <w:pPr>
        <w:pStyle w:val="Prrafodelista"/>
        <w:rPr>
          <w:rFonts w:cs="Arial"/>
          <w:szCs w:val="24"/>
        </w:rPr>
      </w:pPr>
      <w:r w:rsidRPr="007245C9">
        <w:rPr>
          <w:rFonts w:cs="Arial"/>
          <w:szCs w:val="24"/>
        </w:rPr>
        <w:t xml:space="preserve"> </w:t>
      </w:r>
    </w:p>
    <w:p w:rsidR="00BD7F60" w:rsidRPr="007245C9" w:rsidRDefault="00BD7F60" w:rsidP="00BD7F60">
      <w:pPr>
        <w:rPr>
          <w:rFonts w:cs="Arial"/>
        </w:rPr>
      </w:pPr>
    </w:p>
    <w:p w:rsidR="00BD7F60" w:rsidRDefault="00BD7F60" w:rsidP="00BD7F60"/>
    <w:p w:rsidR="00BD7F60" w:rsidRPr="00BD7F60" w:rsidRDefault="00BD7F60" w:rsidP="00BD7F60">
      <w:pPr>
        <w:spacing w:line="360" w:lineRule="auto"/>
        <w:jc w:val="both"/>
        <w:rPr>
          <w:rFonts w:ascii="Trebuchet MS" w:hAnsi="Trebuchet MS"/>
          <w:sz w:val="24"/>
        </w:rPr>
      </w:pPr>
    </w:p>
    <w:sectPr w:rsidR="00BD7F60" w:rsidRPr="00BD7F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E14"/>
    <w:rsid w:val="00031BCA"/>
    <w:rsid w:val="001012BD"/>
    <w:rsid w:val="003E6B7D"/>
    <w:rsid w:val="00417880"/>
    <w:rsid w:val="005002AE"/>
    <w:rsid w:val="00592499"/>
    <w:rsid w:val="006142FD"/>
    <w:rsid w:val="00B00E14"/>
    <w:rsid w:val="00B717FB"/>
    <w:rsid w:val="00BD7F60"/>
    <w:rsid w:val="00C9540A"/>
    <w:rsid w:val="00CA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398318-0FE7-4D91-B2D3-9ECA3011C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49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7F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6"/>
    <w:qFormat/>
    <w:rsid w:val="00BD7F60"/>
    <w:pPr>
      <w:spacing w:after="120" w:line="360" w:lineRule="auto"/>
      <w:ind w:left="720" w:firstLine="284"/>
      <w:contextualSpacing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4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462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Soledad Alatorre</dc:creator>
  <cp:keywords/>
  <dc:description/>
  <cp:lastModifiedBy>Soledad Alatorre</cp:lastModifiedBy>
  <cp:revision>3</cp:revision>
  <dcterms:created xsi:type="dcterms:W3CDTF">2018-05-25T16:38:00Z</dcterms:created>
  <dcterms:modified xsi:type="dcterms:W3CDTF">2018-05-26T02:40:00Z</dcterms:modified>
</cp:coreProperties>
</file>