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475EE0" w14:textId="58CBAD6A" w:rsidR="00E03D2E" w:rsidRPr="00D916B7" w:rsidRDefault="00E03D2E" w:rsidP="00D70478">
      <w:pPr>
        <w:pStyle w:val="Sinespaciado"/>
        <w:spacing w:line="276" w:lineRule="auto"/>
        <w:jc w:val="both"/>
        <w:rPr>
          <w:rFonts w:ascii="Arial" w:hAnsi="Arial" w:cs="Arial"/>
          <w:b/>
          <w:sz w:val="24"/>
          <w:szCs w:val="24"/>
          <w:lang w:val="es-ES"/>
        </w:rPr>
      </w:pPr>
      <w:r w:rsidRPr="00D916B7">
        <w:rPr>
          <w:rFonts w:ascii="Arial" w:hAnsi="Arial" w:cs="Arial"/>
          <w:b/>
          <w:sz w:val="24"/>
          <w:szCs w:val="24"/>
          <w:lang w:val="es-ES"/>
        </w:rPr>
        <w:t>RESOLUCIÓN DEL CONSEJO GENERAL DEL INSTITUTO ELECTORAL Y DE PARTICIPACIÓN CIUDADANA DEL ESTADO DE JALISCO, RELATIV</w:t>
      </w:r>
      <w:r w:rsidR="009C359D" w:rsidRPr="00D916B7">
        <w:rPr>
          <w:rFonts w:ascii="Arial" w:hAnsi="Arial" w:cs="Arial"/>
          <w:b/>
          <w:sz w:val="24"/>
          <w:szCs w:val="24"/>
          <w:lang w:val="es-ES"/>
        </w:rPr>
        <w:t>O</w:t>
      </w:r>
      <w:r w:rsidRPr="00D916B7">
        <w:rPr>
          <w:rFonts w:ascii="Arial" w:hAnsi="Arial" w:cs="Arial"/>
          <w:b/>
          <w:sz w:val="24"/>
          <w:szCs w:val="24"/>
          <w:lang w:val="es-ES"/>
        </w:rPr>
        <w:t xml:space="preserve"> AL RECURSO DE REVISIÓN </w:t>
      </w:r>
      <w:r w:rsidR="00E162F7" w:rsidRPr="00D916B7">
        <w:rPr>
          <w:rFonts w:ascii="Arial" w:hAnsi="Arial" w:cs="Arial"/>
          <w:b/>
          <w:sz w:val="24"/>
          <w:szCs w:val="24"/>
          <w:lang w:val="es-ES"/>
        </w:rPr>
        <w:t>R</w:t>
      </w:r>
      <w:r w:rsidR="0071196B" w:rsidRPr="00D916B7">
        <w:rPr>
          <w:rFonts w:ascii="Arial" w:hAnsi="Arial" w:cs="Arial"/>
          <w:b/>
          <w:sz w:val="24"/>
          <w:szCs w:val="24"/>
          <w:lang w:val="es-ES"/>
        </w:rPr>
        <w:t>ADICADO CON EL NÚMERO REV-0</w:t>
      </w:r>
      <w:r w:rsidR="004A0D87" w:rsidRPr="00D916B7">
        <w:rPr>
          <w:rFonts w:ascii="Arial" w:hAnsi="Arial" w:cs="Arial"/>
          <w:b/>
          <w:sz w:val="24"/>
          <w:szCs w:val="24"/>
          <w:lang w:val="es-ES"/>
        </w:rPr>
        <w:t>0</w:t>
      </w:r>
      <w:r w:rsidR="00CB7360" w:rsidRPr="00D916B7">
        <w:rPr>
          <w:rFonts w:ascii="Arial" w:hAnsi="Arial" w:cs="Arial"/>
          <w:b/>
          <w:sz w:val="24"/>
          <w:szCs w:val="24"/>
          <w:lang w:val="es-ES"/>
        </w:rPr>
        <w:t>1</w:t>
      </w:r>
      <w:r w:rsidR="00616064" w:rsidRPr="00D916B7">
        <w:rPr>
          <w:rFonts w:ascii="Arial" w:hAnsi="Arial" w:cs="Arial"/>
          <w:b/>
          <w:sz w:val="24"/>
          <w:szCs w:val="24"/>
          <w:lang w:val="es-ES"/>
        </w:rPr>
        <w:t>/202</w:t>
      </w:r>
      <w:r w:rsidR="00CB7360" w:rsidRPr="00D916B7">
        <w:rPr>
          <w:rFonts w:ascii="Arial" w:hAnsi="Arial" w:cs="Arial"/>
          <w:b/>
          <w:sz w:val="24"/>
          <w:szCs w:val="24"/>
          <w:lang w:val="es-ES"/>
        </w:rPr>
        <w:t>3</w:t>
      </w:r>
      <w:r w:rsidR="00E64955" w:rsidRPr="00D916B7">
        <w:rPr>
          <w:rFonts w:ascii="Arial" w:hAnsi="Arial" w:cs="Arial"/>
          <w:b/>
          <w:sz w:val="24"/>
          <w:szCs w:val="24"/>
          <w:lang w:val="es-ES"/>
        </w:rPr>
        <w:t>,</w:t>
      </w:r>
      <w:r w:rsidR="0071196B" w:rsidRPr="00D916B7">
        <w:rPr>
          <w:rFonts w:ascii="Arial" w:hAnsi="Arial" w:cs="Arial"/>
          <w:b/>
          <w:sz w:val="24"/>
          <w:szCs w:val="24"/>
          <w:lang w:val="es-ES"/>
        </w:rPr>
        <w:t xml:space="preserve"> </w:t>
      </w:r>
      <w:r w:rsidRPr="00D916B7">
        <w:rPr>
          <w:rFonts w:ascii="Arial" w:hAnsi="Arial" w:cs="Arial"/>
          <w:b/>
          <w:sz w:val="24"/>
          <w:szCs w:val="24"/>
          <w:lang w:val="es-ES"/>
        </w:rPr>
        <w:t>PROMOVIDO</w:t>
      </w:r>
      <w:r w:rsidR="00AD3CC0" w:rsidRPr="00D916B7">
        <w:rPr>
          <w:rFonts w:ascii="Arial" w:hAnsi="Arial" w:cs="Arial"/>
          <w:b/>
          <w:sz w:val="24"/>
          <w:szCs w:val="24"/>
          <w:lang w:val="es-ES"/>
        </w:rPr>
        <w:t xml:space="preserve"> </w:t>
      </w:r>
      <w:r w:rsidRPr="00D916B7">
        <w:rPr>
          <w:rFonts w:ascii="Arial" w:hAnsi="Arial" w:cs="Arial"/>
          <w:b/>
          <w:sz w:val="24"/>
          <w:szCs w:val="24"/>
          <w:lang w:val="es-ES"/>
        </w:rPr>
        <w:t>POR</w:t>
      </w:r>
      <w:r w:rsidR="00AD3CC0" w:rsidRPr="00D916B7">
        <w:rPr>
          <w:rFonts w:ascii="Arial" w:hAnsi="Arial" w:cs="Arial"/>
          <w:b/>
          <w:sz w:val="24"/>
          <w:szCs w:val="24"/>
          <w:lang w:val="es-ES"/>
        </w:rPr>
        <w:t xml:space="preserve"> </w:t>
      </w:r>
      <w:r w:rsidR="004A0D87" w:rsidRPr="00D916B7">
        <w:rPr>
          <w:rFonts w:ascii="Arial" w:hAnsi="Arial" w:cs="Arial"/>
          <w:b/>
          <w:sz w:val="24"/>
          <w:szCs w:val="24"/>
          <w:lang w:val="es-ES"/>
        </w:rPr>
        <w:t>JAIME HERNÁNDEZ ORTIZ</w:t>
      </w:r>
      <w:r w:rsidR="00CB7360" w:rsidRPr="00D916B7">
        <w:rPr>
          <w:rFonts w:ascii="Arial" w:hAnsi="Arial" w:cs="Arial"/>
          <w:b/>
          <w:sz w:val="24"/>
          <w:szCs w:val="24"/>
          <w:lang w:val="es-ES"/>
        </w:rPr>
        <w:t xml:space="preserve">, REPRESENTANTE </w:t>
      </w:r>
      <w:r w:rsidR="00D70478" w:rsidRPr="00D916B7">
        <w:rPr>
          <w:rFonts w:ascii="Arial" w:hAnsi="Arial" w:cs="Arial"/>
          <w:b/>
          <w:sz w:val="24"/>
          <w:szCs w:val="24"/>
          <w:lang w:val="es-ES"/>
        </w:rPr>
        <w:t xml:space="preserve">DEL PARTIDO </w:t>
      </w:r>
      <w:r w:rsidR="00CB7360" w:rsidRPr="00D916B7">
        <w:rPr>
          <w:rFonts w:ascii="Arial" w:hAnsi="Arial" w:cs="Arial"/>
          <w:b/>
          <w:sz w:val="24"/>
          <w:szCs w:val="24"/>
          <w:lang w:val="es-ES"/>
        </w:rPr>
        <w:t>POLÍTICO MORENA.</w:t>
      </w:r>
    </w:p>
    <w:p w14:paraId="560F6D53" w14:textId="77777777" w:rsidR="00E64955" w:rsidRPr="00D916B7" w:rsidRDefault="00E64955" w:rsidP="00D70478">
      <w:pPr>
        <w:pStyle w:val="Sinespaciado"/>
        <w:spacing w:line="276" w:lineRule="auto"/>
        <w:jc w:val="both"/>
        <w:rPr>
          <w:rFonts w:ascii="Arial" w:hAnsi="Arial" w:cs="Arial"/>
          <w:sz w:val="24"/>
          <w:szCs w:val="24"/>
          <w:lang w:val="es-ES"/>
        </w:rPr>
      </w:pPr>
    </w:p>
    <w:p w14:paraId="28E1DA9A" w14:textId="120544DD" w:rsidR="00E03D2E" w:rsidRPr="00D916B7" w:rsidRDefault="00E03D2E" w:rsidP="00D70478">
      <w:pPr>
        <w:pStyle w:val="Sinespaciado"/>
        <w:spacing w:line="276" w:lineRule="auto"/>
        <w:jc w:val="both"/>
        <w:rPr>
          <w:rFonts w:ascii="Arial" w:hAnsi="Arial" w:cs="Arial"/>
          <w:sz w:val="24"/>
          <w:szCs w:val="24"/>
        </w:rPr>
      </w:pPr>
      <w:r w:rsidRPr="00D916B7">
        <w:rPr>
          <w:rFonts w:ascii="Arial" w:hAnsi="Arial" w:cs="Arial"/>
          <w:sz w:val="24"/>
          <w:szCs w:val="24"/>
          <w:lang w:val="es-ES_tradnl"/>
        </w:rPr>
        <w:t xml:space="preserve">Vistos para resolver los autos del expediente identificado con el número citado al rubro, formado con motivo del </w:t>
      </w:r>
      <w:r w:rsidRPr="00D916B7">
        <w:rPr>
          <w:rFonts w:ascii="Arial" w:hAnsi="Arial" w:cs="Arial"/>
          <w:sz w:val="24"/>
          <w:szCs w:val="24"/>
        </w:rPr>
        <w:t>R</w:t>
      </w:r>
      <w:r w:rsidR="00687C81" w:rsidRPr="00D916B7">
        <w:rPr>
          <w:rFonts w:ascii="Arial" w:hAnsi="Arial" w:cs="Arial"/>
          <w:sz w:val="24"/>
          <w:szCs w:val="24"/>
        </w:rPr>
        <w:t xml:space="preserve">ecurso de Revisión </w:t>
      </w:r>
      <w:r w:rsidRPr="00D916B7">
        <w:rPr>
          <w:rFonts w:ascii="Arial" w:hAnsi="Arial" w:cs="Arial"/>
          <w:sz w:val="24"/>
          <w:szCs w:val="24"/>
        </w:rPr>
        <w:t>promovido por</w:t>
      </w:r>
      <w:r w:rsidR="006D6B82" w:rsidRPr="00D916B7">
        <w:rPr>
          <w:rFonts w:ascii="Arial" w:hAnsi="Arial" w:cs="Arial"/>
          <w:sz w:val="24"/>
          <w:szCs w:val="24"/>
        </w:rPr>
        <w:t xml:space="preserve"> </w:t>
      </w:r>
      <w:r w:rsidR="00E43B41" w:rsidRPr="00D916B7">
        <w:rPr>
          <w:rFonts w:ascii="Arial" w:hAnsi="Arial" w:cs="Arial"/>
          <w:sz w:val="24"/>
          <w:szCs w:val="24"/>
        </w:rPr>
        <w:t>Jaime Hernández Ortiz</w:t>
      </w:r>
      <w:r w:rsidR="00E64955" w:rsidRPr="00D916B7">
        <w:rPr>
          <w:rFonts w:ascii="Arial" w:hAnsi="Arial" w:cs="Arial"/>
          <w:sz w:val="24"/>
          <w:szCs w:val="24"/>
          <w:lang w:val="es-ES"/>
        </w:rPr>
        <w:t xml:space="preserve">, </w:t>
      </w:r>
      <w:r w:rsidRPr="00D916B7">
        <w:rPr>
          <w:rFonts w:ascii="Arial" w:hAnsi="Arial" w:cs="Arial"/>
          <w:sz w:val="24"/>
          <w:szCs w:val="24"/>
        </w:rPr>
        <w:t xml:space="preserve">contra </w:t>
      </w:r>
      <w:r w:rsidR="006D6B82" w:rsidRPr="00D916B7">
        <w:rPr>
          <w:rFonts w:ascii="Arial" w:hAnsi="Arial" w:cs="Arial"/>
          <w:sz w:val="24"/>
          <w:szCs w:val="24"/>
        </w:rPr>
        <w:t>el acuerdo</w:t>
      </w:r>
      <w:r w:rsidR="00157CE7" w:rsidRPr="00D916B7">
        <w:rPr>
          <w:rFonts w:ascii="Arial" w:hAnsi="Arial" w:cs="Arial"/>
          <w:sz w:val="24"/>
          <w:szCs w:val="24"/>
        </w:rPr>
        <w:t xml:space="preserve"> de </w:t>
      </w:r>
      <w:r w:rsidR="00CB7360" w:rsidRPr="00D916B7">
        <w:rPr>
          <w:rFonts w:ascii="Arial" w:hAnsi="Arial" w:cs="Arial"/>
          <w:sz w:val="24"/>
          <w:szCs w:val="24"/>
        </w:rPr>
        <w:t>trece</w:t>
      </w:r>
      <w:r w:rsidR="00E43B41" w:rsidRPr="00D916B7">
        <w:rPr>
          <w:rFonts w:ascii="Arial" w:hAnsi="Arial" w:cs="Arial"/>
          <w:sz w:val="24"/>
          <w:szCs w:val="24"/>
        </w:rPr>
        <w:t xml:space="preserve"> </w:t>
      </w:r>
      <w:r w:rsidR="00687C81" w:rsidRPr="00D916B7">
        <w:rPr>
          <w:rFonts w:ascii="Arial" w:hAnsi="Arial" w:cs="Arial"/>
          <w:sz w:val="24"/>
          <w:szCs w:val="24"/>
        </w:rPr>
        <w:t xml:space="preserve">de </w:t>
      </w:r>
      <w:r w:rsidR="00CB7360" w:rsidRPr="00D916B7">
        <w:rPr>
          <w:rFonts w:ascii="Arial" w:hAnsi="Arial" w:cs="Arial"/>
          <w:sz w:val="24"/>
          <w:szCs w:val="24"/>
        </w:rPr>
        <w:t>febrero</w:t>
      </w:r>
      <w:r w:rsidR="00E43B41" w:rsidRPr="00D916B7">
        <w:rPr>
          <w:rFonts w:ascii="Arial" w:hAnsi="Arial" w:cs="Arial"/>
          <w:sz w:val="24"/>
          <w:szCs w:val="24"/>
        </w:rPr>
        <w:t xml:space="preserve"> </w:t>
      </w:r>
      <w:r w:rsidR="00687C81" w:rsidRPr="00D916B7">
        <w:rPr>
          <w:rFonts w:ascii="Arial" w:hAnsi="Arial" w:cs="Arial"/>
          <w:sz w:val="24"/>
          <w:szCs w:val="24"/>
        </w:rPr>
        <w:t>de dos mil veinti</w:t>
      </w:r>
      <w:r w:rsidR="00CB7360" w:rsidRPr="00D916B7">
        <w:rPr>
          <w:rFonts w:ascii="Arial" w:hAnsi="Arial" w:cs="Arial"/>
          <w:sz w:val="24"/>
          <w:szCs w:val="24"/>
        </w:rPr>
        <w:t>trés</w:t>
      </w:r>
      <w:r w:rsidR="00687C81" w:rsidRPr="00D916B7">
        <w:rPr>
          <w:rStyle w:val="Refdenotaalpie"/>
          <w:rFonts w:ascii="Arial" w:hAnsi="Arial" w:cs="Arial"/>
          <w:sz w:val="24"/>
          <w:szCs w:val="24"/>
        </w:rPr>
        <w:footnoteReference w:id="1"/>
      </w:r>
      <w:r w:rsidR="00304EA0" w:rsidRPr="00D916B7">
        <w:rPr>
          <w:rFonts w:ascii="Arial" w:hAnsi="Arial" w:cs="Arial"/>
          <w:sz w:val="24"/>
          <w:szCs w:val="24"/>
        </w:rPr>
        <w:t xml:space="preserve">, </w:t>
      </w:r>
      <w:r w:rsidR="00180318" w:rsidRPr="00D916B7">
        <w:rPr>
          <w:rFonts w:ascii="Arial" w:hAnsi="Arial" w:cs="Arial"/>
          <w:sz w:val="24"/>
          <w:szCs w:val="24"/>
        </w:rPr>
        <w:t xml:space="preserve">dictado por la </w:t>
      </w:r>
      <w:r w:rsidR="0071196B" w:rsidRPr="00D916B7">
        <w:rPr>
          <w:rFonts w:ascii="Arial" w:hAnsi="Arial" w:cs="Arial"/>
          <w:sz w:val="24"/>
          <w:szCs w:val="24"/>
        </w:rPr>
        <w:t>Secretaría Ejecutiva</w:t>
      </w:r>
      <w:r w:rsidRPr="00D916B7">
        <w:rPr>
          <w:rFonts w:ascii="Arial" w:hAnsi="Arial" w:cs="Arial"/>
          <w:sz w:val="24"/>
          <w:szCs w:val="24"/>
        </w:rPr>
        <w:t xml:space="preserve"> del Instituto Electoral y de Participación Ciudadana del Estado de Jalisco</w:t>
      </w:r>
      <w:r w:rsidRPr="00D916B7">
        <w:rPr>
          <w:rStyle w:val="Refdenotaalpie"/>
          <w:rFonts w:ascii="Arial" w:hAnsi="Arial" w:cs="Arial"/>
          <w:sz w:val="24"/>
          <w:szCs w:val="24"/>
        </w:rPr>
        <w:footnoteReference w:id="2"/>
      </w:r>
      <w:r w:rsidRPr="00D916B7">
        <w:rPr>
          <w:rFonts w:ascii="Arial" w:hAnsi="Arial" w:cs="Arial"/>
          <w:sz w:val="24"/>
          <w:szCs w:val="24"/>
        </w:rPr>
        <w:t>.</w:t>
      </w:r>
    </w:p>
    <w:p w14:paraId="7B8C0A6D" w14:textId="77777777" w:rsidR="00E03D2E" w:rsidRPr="00D916B7" w:rsidRDefault="00E03D2E" w:rsidP="00D70478">
      <w:pPr>
        <w:pStyle w:val="Sinespaciado"/>
        <w:spacing w:line="276" w:lineRule="auto"/>
        <w:jc w:val="both"/>
        <w:rPr>
          <w:rFonts w:ascii="Arial" w:eastAsiaTheme="minorEastAsia" w:hAnsi="Arial" w:cs="Arial"/>
          <w:sz w:val="24"/>
          <w:szCs w:val="24"/>
          <w:lang w:eastAsia="es-MX"/>
        </w:rPr>
      </w:pPr>
    </w:p>
    <w:p w14:paraId="5DF22D30" w14:textId="77777777" w:rsidR="00FA1FFC" w:rsidRDefault="00FA1FFC" w:rsidP="00D70478">
      <w:pPr>
        <w:pStyle w:val="Sinespaciado"/>
        <w:spacing w:line="276" w:lineRule="auto"/>
        <w:jc w:val="center"/>
        <w:rPr>
          <w:rFonts w:ascii="Arial" w:hAnsi="Arial" w:cs="Arial"/>
          <w:b/>
          <w:sz w:val="24"/>
          <w:szCs w:val="24"/>
          <w:lang w:val="es-ES_tradnl"/>
        </w:rPr>
      </w:pPr>
    </w:p>
    <w:p w14:paraId="29E403EE" w14:textId="2F40A477" w:rsidR="00E03D2E" w:rsidRPr="00D916B7" w:rsidRDefault="00E03D2E" w:rsidP="00D70478">
      <w:pPr>
        <w:pStyle w:val="Sinespaciado"/>
        <w:spacing w:line="276" w:lineRule="auto"/>
        <w:jc w:val="center"/>
        <w:rPr>
          <w:rFonts w:ascii="Arial" w:hAnsi="Arial" w:cs="Arial"/>
          <w:b/>
          <w:sz w:val="24"/>
          <w:szCs w:val="24"/>
          <w:lang w:val="es-ES_tradnl"/>
        </w:rPr>
      </w:pPr>
      <w:r w:rsidRPr="00D916B7">
        <w:rPr>
          <w:rFonts w:ascii="Arial" w:hAnsi="Arial" w:cs="Arial"/>
          <w:b/>
          <w:sz w:val="24"/>
          <w:szCs w:val="24"/>
          <w:lang w:val="es-ES_tradnl"/>
        </w:rPr>
        <w:t>A N T E C E D E N T E S</w:t>
      </w:r>
    </w:p>
    <w:p w14:paraId="2B77789C" w14:textId="2EBC80FA" w:rsidR="00440C21" w:rsidRDefault="00440C21" w:rsidP="00D70478">
      <w:pPr>
        <w:pStyle w:val="Sinespaciado"/>
        <w:spacing w:line="276" w:lineRule="auto"/>
        <w:jc w:val="center"/>
        <w:rPr>
          <w:rFonts w:ascii="Arial" w:hAnsi="Arial" w:cs="Arial"/>
          <w:b/>
          <w:sz w:val="24"/>
          <w:szCs w:val="24"/>
          <w:lang w:val="es-ES_tradnl"/>
        </w:rPr>
      </w:pPr>
    </w:p>
    <w:p w14:paraId="10ACB7F0" w14:textId="77777777" w:rsidR="00FA1FFC" w:rsidRPr="00D916B7" w:rsidRDefault="00FA1FFC" w:rsidP="00D70478">
      <w:pPr>
        <w:pStyle w:val="Sinespaciado"/>
        <w:spacing w:line="276" w:lineRule="auto"/>
        <w:jc w:val="center"/>
        <w:rPr>
          <w:rFonts w:ascii="Arial" w:hAnsi="Arial" w:cs="Arial"/>
          <w:b/>
          <w:sz w:val="24"/>
          <w:szCs w:val="24"/>
          <w:lang w:val="es-ES_tradnl"/>
        </w:rPr>
      </w:pPr>
    </w:p>
    <w:p w14:paraId="3B7A34AE" w14:textId="009CFD6E" w:rsidR="00CB7360" w:rsidRPr="00D916B7" w:rsidRDefault="006444CD" w:rsidP="00D70478">
      <w:pPr>
        <w:spacing w:after="0"/>
        <w:jc w:val="both"/>
        <w:rPr>
          <w:rFonts w:ascii="Arial" w:hAnsi="Arial" w:cs="Arial"/>
          <w:sz w:val="24"/>
          <w:szCs w:val="24"/>
          <w:lang w:val="es-ES" w:eastAsia="es-ES"/>
        </w:rPr>
      </w:pPr>
      <w:r w:rsidRPr="00D916B7">
        <w:rPr>
          <w:rFonts w:ascii="Arial" w:hAnsi="Arial" w:cs="Arial"/>
          <w:b/>
          <w:sz w:val="24"/>
          <w:szCs w:val="24"/>
          <w:lang w:val="es-ES" w:eastAsia="es-ES"/>
        </w:rPr>
        <w:t xml:space="preserve">1. </w:t>
      </w:r>
      <w:r w:rsidR="008F7D89" w:rsidRPr="00D916B7">
        <w:rPr>
          <w:rFonts w:ascii="Arial" w:hAnsi="Arial" w:cs="Arial"/>
          <w:b/>
          <w:sz w:val="24"/>
          <w:szCs w:val="24"/>
          <w:lang w:val="es-ES" w:eastAsia="es-ES"/>
        </w:rPr>
        <w:t xml:space="preserve">Presentación de </w:t>
      </w:r>
      <w:r w:rsidR="00CB7360" w:rsidRPr="00D916B7">
        <w:rPr>
          <w:rFonts w:ascii="Arial" w:hAnsi="Arial" w:cs="Arial"/>
          <w:b/>
          <w:sz w:val="24"/>
          <w:szCs w:val="24"/>
          <w:lang w:val="es-ES" w:eastAsia="es-ES"/>
        </w:rPr>
        <w:t>la queja</w:t>
      </w:r>
      <w:r w:rsidR="008F7D89" w:rsidRPr="00D916B7">
        <w:rPr>
          <w:rFonts w:ascii="Arial" w:hAnsi="Arial" w:cs="Arial"/>
          <w:b/>
          <w:sz w:val="24"/>
          <w:szCs w:val="24"/>
          <w:lang w:val="es-ES" w:eastAsia="es-ES"/>
        </w:rPr>
        <w:t xml:space="preserve">. </w:t>
      </w:r>
      <w:r w:rsidR="00F32AB1" w:rsidRPr="00D916B7">
        <w:rPr>
          <w:rFonts w:ascii="Arial" w:hAnsi="Arial" w:cs="Arial"/>
          <w:sz w:val="24"/>
          <w:szCs w:val="24"/>
          <w:lang w:val="es-ES" w:eastAsia="es-ES"/>
        </w:rPr>
        <w:t xml:space="preserve">El </w:t>
      </w:r>
      <w:r w:rsidR="00CB7360" w:rsidRPr="00D916B7">
        <w:rPr>
          <w:rFonts w:ascii="Arial" w:hAnsi="Arial" w:cs="Arial"/>
          <w:sz w:val="24"/>
          <w:szCs w:val="24"/>
        </w:rPr>
        <w:t xml:space="preserve">ocho de febrero, </w:t>
      </w:r>
      <w:r w:rsidR="00CB7360" w:rsidRPr="00D916B7">
        <w:rPr>
          <w:rFonts w:ascii="Arial" w:hAnsi="Arial" w:cs="Arial"/>
          <w:sz w:val="24"/>
          <w:szCs w:val="24"/>
          <w:lang w:val="es-ES" w:eastAsia="es-ES"/>
        </w:rPr>
        <w:t>se presentó ante Oficialía de Partes del Instituto Electoral, escrito firmado por el representante propietario del partido político Morena, registrado bajo el folio 00184</w:t>
      </w:r>
      <w:r w:rsidR="00CB7360" w:rsidRPr="00D916B7">
        <w:rPr>
          <w:rFonts w:ascii="Arial" w:hAnsi="Arial" w:cs="Arial"/>
          <w:sz w:val="24"/>
          <w:szCs w:val="24"/>
        </w:rPr>
        <w:t>; mediante el cual promovió queja por hechos que considera violatorios a la normatividad electoral vigente, en contra de Tomás Vargas Suárez en su calidad de magistrado presidente del Tribunal Electoral del Estado de Jalisco.</w:t>
      </w:r>
    </w:p>
    <w:p w14:paraId="5B0C6F4F" w14:textId="77777777" w:rsidR="00CB7360" w:rsidRPr="00D916B7" w:rsidRDefault="00CB7360" w:rsidP="00D70478">
      <w:pPr>
        <w:spacing w:after="0"/>
        <w:jc w:val="both"/>
        <w:rPr>
          <w:rFonts w:ascii="Arial" w:hAnsi="Arial" w:cs="Arial"/>
          <w:sz w:val="24"/>
          <w:szCs w:val="24"/>
          <w:lang w:val="es-ES" w:eastAsia="es-ES"/>
        </w:rPr>
      </w:pPr>
    </w:p>
    <w:p w14:paraId="07B08FB8" w14:textId="318531F2" w:rsidR="00A6689D" w:rsidRPr="00D916B7" w:rsidRDefault="007A4B01" w:rsidP="00D70478">
      <w:pPr>
        <w:pBdr>
          <w:top w:val="nil"/>
          <w:left w:val="nil"/>
          <w:bottom w:val="nil"/>
          <w:right w:val="nil"/>
          <w:between w:val="nil"/>
        </w:pBdr>
        <w:tabs>
          <w:tab w:val="center" w:pos="4419"/>
          <w:tab w:val="right" w:pos="8838"/>
        </w:tabs>
        <w:spacing w:after="0"/>
        <w:jc w:val="both"/>
        <w:rPr>
          <w:rFonts w:ascii="Arial" w:hAnsi="Arial" w:cs="Arial"/>
          <w:sz w:val="24"/>
          <w:szCs w:val="24"/>
          <w:lang w:val="es-ES" w:eastAsia="es-ES"/>
        </w:rPr>
      </w:pPr>
      <w:r w:rsidRPr="00D916B7">
        <w:rPr>
          <w:rFonts w:ascii="Arial" w:hAnsi="Arial" w:cs="Arial"/>
          <w:b/>
          <w:sz w:val="24"/>
          <w:szCs w:val="24"/>
          <w:lang w:val="es-ES" w:eastAsia="es-ES"/>
        </w:rPr>
        <w:t xml:space="preserve">2. </w:t>
      </w:r>
      <w:r w:rsidR="00CB7360" w:rsidRPr="00D916B7">
        <w:rPr>
          <w:rFonts w:ascii="Arial" w:hAnsi="Arial" w:cs="Arial"/>
          <w:b/>
          <w:sz w:val="24"/>
          <w:szCs w:val="24"/>
          <w:lang w:val="es-ES" w:eastAsia="es-ES"/>
        </w:rPr>
        <w:t xml:space="preserve">Acuerdo de </w:t>
      </w:r>
      <w:proofErr w:type="spellStart"/>
      <w:r w:rsidR="00CB7360" w:rsidRPr="00D916B7">
        <w:rPr>
          <w:rFonts w:ascii="Arial" w:hAnsi="Arial" w:cs="Arial"/>
          <w:b/>
          <w:sz w:val="24"/>
          <w:szCs w:val="24"/>
          <w:lang w:val="es-ES" w:eastAsia="es-ES"/>
        </w:rPr>
        <w:t>des</w:t>
      </w:r>
      <w:r w:rsidR="00B61A00" w:rsidRPr="00D916B7">
        <w:rPr>
          <w:rFonts w:ascii="Arial" w:hAnsi="Arial" w:cs="Arial"/>
          <w:b/>
          <w:sz w:val="24"/>
          <w:szCs w:val="24"/>
          <w:lang w:val="es-ES" w:eastAsia="es-ES"/>
        </w:rPr>
        <w:t>e</w:t>
      </w:r>
      <w:r w:rsidR="00CB7360" w:rsidRPr="00D916B7">
        <w:rPr>
          <w:rFonts w:ascii="Arial" w:hAnsi="Arial" w:cs="Arial"/>
          <w:b/>
          <w:sz w:val="24"/>
          <w:szCs w:val="24"/>
          <w:lang w:val="es-ES" w:eastAsia="es-ES"/>
        </w:rPr>
        <w:t>chamiento</w:t>
      </w:r>
      <w:proofErr w:type="spellEnd"/>
      <w:r w:rsidR="008F7D89" w:rsidRPr="00D916B7">
        <w:rPr>
          <w:rFonts w:ascii="Arial" w:hAnsi="Arial" w:cs="Arial"/>
          <w:b/>
          <w:sz w:val="24"/>
          <w:szCs w:val="24"/>
          <w:lang w:val="es-ES" w:eastAsia="es-ES"/>
        </w:rPr>
        <w:t xml:space="preserve">. </w:t>
      </w:r>
      <w:r w:rsidR="00A6689D" w:rsidRPr="00D916B7">
        <w:rPr>
          <w:rFonts w:ascii="Arial" w:hAnsi="Arial" w:cs="Arial"/>
          <w:sz w:val="24"/>
          <w:szCs w:val="24"/>
          <w:lang w:val="es-ES" w:eastAsia="es-ES"/>
        </w:rPr>
        <w:t xml:space="preserve">Mediante </w:t>
      </w:r>
      <w:r w:rsidR="00CB7360" w:rsidRPr="00D916B7">
        <w:rPr>
          <w:rFonts w:ascii="Arial" w:hAnsi="Arial" w:cs="Arial"/>
          <w:sz w:val="24"/>
          <w:szCs w:val="24"/>
          <w:lang w:val="es-ES" w:eastAsia="es-ES"/>
        </w:rPr>
        <w:t xml:space="preserve">acuerdo de fecha trece de febrero, el </w:t>
      </w:r>
      <w:proofErr w:type="gramStart"/>
      <w:r w:rsidR="00CB7360" w:rsidRPr="00D916B7">
        <w:rPr>
          <w:rFonts w:ascii="Arial" w:hAnsi="Arial" w:cs="Arial"/>
          <w:sz w:val="24"/>
          <w:szCs w:val="24"/>
          <w:lang w:val="es-ES" w:eastAsia="es-ES"/>
        </w:rPr>
        <w:t>Secretario Ejecutivo</w:t>
      </w:r>
      <w:proofErr w:type="gramEnd"/>
      <w:r w:rsidR="00CB7360" w:rsidRPr="00D916B7">
        <w:rPr>
          <w:rFonts w:ascii="Arial" w:hAnsi="Arial" w:cs="Arial"/>
          <w:sz w:val="24"/>
          <w:szCs w:val="24"/>
          <w:lang w:val="es-ES" w:eastAsia="es-ES"/>
        </w:rPr>
        <w:t xml:space="preserve"> </w:t>
      </w:r>
      <w:r w:rsidR="000208A6" w:rsidRPr="00D916B7">
        <w:rPr>
          <w:rFonts w:ascii="Arial" w:hAnsi="Arial" w:cs="Arial"/>
          <w:sz w:val="24"/>
          <w:szCs w:val="24"/>
          <w:lang w:val="es-ES" w:eastAsia="es-ES"/>
        </w:rPr>
        <w:t xml:space="preserve">radicó el escrito referido con el número de expediente PSO-QUEJA-004/2023, y </w:t>
      </w:r>
      <w:r w:rsidR="00CB7360" w:rsidRPr="00D916B7">
        <w:rPr>
          <w:rFonts w:ascii="Arial" w:hAnsi="Arial" w:cs="Arial"/>
          <w:sz w:val="24"/>
          <w:szCs w:val="24"/>
          <w:lang w:val="es-ES" w:eastAsia="es-ES"/>
        </w:rPr>
        <w:t xml:space="preserve">determinó desechar de plano la denuncia al no tener competencia y dar vista al Senado de la República. Dicho acuerdo fue notificado con </w:t>
      </w:r>
      <w:r w:rsidR="00A6689D" w:rsidRPr="00D916B7">
        <w:rPr>
          <w:rFonts w:ascii="Arial" w:hAnsi="Arial" w:cs="Arial"/>
          <w:sz w:val="24"/>
          <w:szCs w:val="24"/>
          <w:lang w:val="es-ES" w:eastAsia="es-ES"/>
        </w:rPr>
        <w:t xml:space="preserve">oficio </w:t>
      </w:r>
      <w:r w:rsidR="00CB7360" w:rsidRPr="00D916B7">
        <w:rPr>
          <w:rFonts w:ascii="Arial" w:hAnsi="Arial" w:cs="Arial"/>
          <w:sz w:val="24"/>
          <w:szCs w:val="24"/>
          <w:lang w:val="es-ES" w:eastAsia="es-ES"/>
        </w:rPr>
        <w:t>292</w:t>
      </w:r>
      <w:r w:rsidR="00A6689D" w:rsidRPr="00D916B7">
        <w:rPr>
          <w:rFonts w:ascii="Arial" w:hAnsi="Arial" w:cs="Arial"/>
          <w:sz w:val="24"/>
          <w:szCs w:val="24"/>
          <w:lang w:val="es-ES" w:eastAsia="es-ES"/>
        </w:rPr>
        <w:t>/202</w:t>
      </w:r>
      <w:r w:rsidR="00CB7360" w:rsidRPr="00D916B7">
        <w:rPr>
          <w:rFonts w:ascii="Arial" w:hAnsi="Arial" w:cs="Arial"/>
          <w:sz w:val="24"/>
          <w:szCs w:val="24"/>
          <w:lang w:val="es-ES" w:eastAsia="es-ES"/>
        </w:rPr>
        <w:t>3</w:t>
      </w:r>
      <w:r w:rsidR="00A6689D" w:rsidRPr="00D916B7">
        <w:rPr>
          <w:rFonts w:ascii="Arial" w:hAnsi="Arial" w:cs="Arial"/>
          <w:sz w:val="24"/>
          <w:szCs w:val="24"/>
          <w:lang w:val="es-ES" w:eastAsia="es-ES"/>
        </w:rPr>
        <w:t xml:space="preserve"> </w:t>
      </w:r>
      <w:r w:rsidR="00CB7360" w:rsidRPr="00D916B7">
        <w:rPr>
          <w:rFonts w:ascii="Arial" w:hAnsi="Arial" w:cs="Arial"/>
          <w:sz w:val="24"/>
          <w:szCs w:val="24"/>
          <w:lang w:val="es-ES" w:eastAsia="es-ES"/>
        </w:rPr>
        <w:t>de Secretaría Ejecutiva</w:t>
      </w:r>
      <w:r w:rsidR="00A6689D" w:rsidRPr="00D916B7">
        <w:rPr>
          <w:rFonts w:ascii="Arial" w:hAnsi="Arial" w:cs="Arial"/>
          <w:sz w:val="24"/>
          <w:szCs w:val="24"/>
          <w:lang w:val="es-ES" w:eastAsia="es-ES"/>
        </w:rPr>
        <w:t xml:space="preserve"> el </w:t>
      </w:r>
      <w:r w:rsidR="00CB7360" w:rsidRPr="00D916B7">
        <w:rPr>
          <w:rFonts w:ascii="Arial" w:hAnsi="Arial" w:cs="Arial"/>
          <w:sz w:val="24"/>
          <w:szCs w:val="24"/>
          <w:lang w:val="es-ES" w:eastAsia="es-ES"/>
        </w:rPr>
        <w:t>catorce</w:t>
      </w:r>
      <w:r w:rsidR="00A6689D" w:rsidRPr="00D916B7">
        <w:rPr>
          <w:rFonts w:ascii="Arial" w:hAnsi="Arial" w:cs="Arial"/>
          <w:sz w:val="24"/>
          <w:szCs w:val="24"/>
          <w:lang w:val="es-ES" w:eastAsia="es-ES"/>
        </w:rPr>
        <w:t xml:space="preserve"> de</w:t>
      </w:r>
      <w:r w:rsidR="00CB7360" w:rsidRPr="00D916B7">
        <w:rPr>
          <w:rFonts w:ascii="Arial" w:hAnsi="Arial" w:cs="Arial"/>
          <w:sz w:val="24"/>
          <w:szCs w:val="24"/>
          <w:lang w:val="es-ES" w:eastAsia="es-ES"/>
        </w:rPr>
        <w:t xml:space="preserve">l </w:t>
      </w:r>
      <w:r w:rsidR="00A6689D" w:rsidRPr="00D916B7">
        <w:rPr>
          <w:rFonts w:ascii="Arial" w:hAnsi="Arial" w:cs="Arial"/>
          <w:sz w:val="24"/>
          <w:szCs w:val="24"/>
          <w:lang w:val="es-ES" w:eastAsia="es-ES"/>
        </w:rPr>
        <w:t>referido mes.</w:t>
      </w:r>
    </w:p>
    <w:p w14:paraId="1B86459C" w14:textId="77777777" w:rsidR="00A6689D" w:rsidRPr="00D916B7" w:rsidRDefault="00C30CA9" w:rsidP="00D70478">
      <w:pPr>
        <w:pBdr>
          <w:top w:val="nil"/>
          <w:left w:val="nil"/>
          <w:bottom w:val="nil"/>
          <w:right w:val="nil"/>
          <w:between w:val="nil"/>
        </w:pBdr>
        <w:tabs>
          <w:tab w:val="left" w:pos="1853"/>
        </w:tabs>
        <w:spacing w:after="0"/>
        <w:jc w:val="both"/>
        <w:rPr>
          <w:rFonts w:ascii="Arial" w:hAnsi="Arial" w:cs="Arial"/>
          <w:sz w:val="24"/>
          <w:szCs w:val="24"/>
          <w:lang w:val="es-ES" w:eastAsia="es-ES"/>
        </w:rPr>
      </w:pPr>
      <w:r w:rsidRPr="00D916B7">
        <w:rPr>
          <w:rFonts w:ascii="Arial" w:hAnsi="Arial" w:cs="Arial"/>
          <w:sz w:val="24"/>
          <w:szCs w:val="24"/>
          <w:lang w:val="es-ES" w:eastAsia="es-ES"/>
        </w:rPr>
        <w:tab/>
      </w:r>
    </w:p>
    <w:p w14:paraId="09293B41" w14:textId="49A26F3A" w:rsidR="00A6689D" w:rsidRPr="00D916B7" w:rsidRDefault="00A6689D" w:rsidP="00D70478">
      <w:pPr>
        <w:pBdr>
          <w:top w:val="nil"/>
          <w:left w:val="nil"/>
          <w:bottom w:val="nil"/>
          <w:right w:val="nil"/>
          <w:between w:val="nil"/>
        </w:pBdr>
        <w:tabs>
          <w:tab w:val="center" w:pos="4419"/>
          <w:tab w:val="right" w:pos="8838"/>
        </w:tabs>
        <w:spacing w:after="0"/>
        <w:jc w:val="both"/>
        <w:rPr>
          <w:rFonts w:ascii="Arial" w:hAnsi="Arial" w:cs="Arial"/>
          <w:sz w:val="24"/>
          <w:szCs w:val="24"/>
          <w:lang w:val="es-ES" w:eastAsia="es-ES"/>
        </w:rPr>
      </w:pPr>
      <w:r w:rsidRPr="00D916B7">
        <w:rPr>
          <w:rFonts w:ascii="Arial" w:hAnsi="Arial" w:cs="Arial"/>
          <w:b/>
          <w:sz w:val="24"/>
          <w:szCs w:val="24"/>
          <w:lang w:val="es-ES" w:eastAsia="es-ES"/>
        </w:rPr>
        <w:t>3. Presentación del medio de impugnación.</w:t>
      </w:r>
      <w:r w:rsidRPr="00D916B7">
        <w:rPr>
          <w:rFonts w:ascii="Arial" w:hAnsi="Arial" w:cs="Arial"/>
          <w:sz w:val="24"/>
          <w:szCs w:val="24"/>
          <w:lang w:val="es-ES" w:eastAsia="es-ES"/>
        </w:rPr>
        <w:t xml:space="preserve"> </w:t>
      </w:r>
      <w:r w:rsidR="00017C64" w:rsidRPr="00D916B7">
        <w:rPr>
          <w:rFonts w:ascii="Arial" w:hAnsi="Arial" w:cs="Arial"/>
          <w:sz w:val="24"/>
          <w:szCs w:val="24"/>
          <w:lang w:val="es-ES" w:eastAsia="es-ES"/>
        </w:rPr>
        <w:t>Inconforme con la respuesta</w:t>
      </w:r>
      <w:r w:rsidR="00CF4DF3" w:rsidRPr="00D916B7">
        <w:rPr>
          <w:rFonts w:ascii="Arial" w:hAnsi="Arial" w:cs="Arial"/>
          <w:sz w:val="24"/>
          <w:szCs w:val="24"/>
          <w:lang w:val="es-ES" w:eastAsia="es-ES"/>
        </w:rPr>
        <w:t xml:space="preserve">, el partido político Morena, por conducto de su representante propietario ante el Consejo General del Instituto Electoral, el </w:t>
      </w:r>
      <w:r w:rsidR="002F3CBC" w:rsidRPr="00D916B7">
        <w:rPr>
          <w:rFonts w:ascii="Arial" w:hAnsi="Arial" w:cs="Arial"/>
          <w:sz w:val="24"/>
          <w:szCs w:val="24"/>
          <w:lang w:val="es-ES" w:eastAsia="es-ES"/>
        </w:rPr>
        <w:t>diecisiete</w:t>
      </w:r>
      <w:r w:rsidR="00CF4DF3" w:rsidRPr="00D916B7">
        <w:rPr>
          <w:rFonts w:ascii="Arial" w:hAnsi="Arial" w:cs="Arial"/>
          <w:sz w:val="24"/>
          <w:szCs w:val="24"/>
          <w:lang w:val="es-ES" w:eastAsia="es-ES"/>
        </w:rPr>
        <w:t xml:space="preserve"> de </w:t>
      </w:r>
      <w:r w:rsidR="002F3CBC" w:rsidRPr="00D916B7">
        <w:rPr>
          <w:rFonts w:ascii="Arial" w:hAnsi="Arial" w:cs="Arial"/>
          <w:sz w:val="24"/>
          <w:szCs w:val="24"/>
          <w:lang w:val="es-ES" w:eastAsia="es-ES"/>
        </w:rPr>
        <w:t>febrero</w:t>
      </w:r>
      <w:r w:rsidR="00CF4DF3" w:rsidRPr="00D916B7">
        <w:rPr>
          <w:rFonts w:ascii="Arial" w:hAnsi="Arial" w:cs="Arial"/>
          <w:sz w:val="24"/>
          <w:szCs w:val="24"/>
          <w:lang w:val="es-ES" w:eastAsia="es-ES"/>
        </w:rPr>
        <w:t xml:space="preserve">, presentó recurso de </w:t>
      </w:r>
      <w:r w:rsidR="002F3CBC" w:rsidRPr="00D916B7">
        <w:rPr>
          <w:rFonts w:ascii="Arial" w:hAnsi="Arial" w:cs="Arial"/>
          <w:sz w:val="24"/>
          <w:szCs w:val="24"/>
          <w:lang w:val="es-ES" w:eastAsia="es-ES"/>
        </w:rPr>
        <w:t>revisión ante este Instituto Electoral.</w:t>
      </w:r>
    </w:p>
    <w:p w14:paraId="5E7C25A3" w14:textId="77777777" w:rsidR="003A57BB" w:rsidRPr="00D916B7" w:rsidRDefault="003A57BB" w:rsidP="00D70478">
      <w:pPr>
        <w:pBdr>
          <w:top w:val="nil"/>
          <w:left w:val="nil"/>
          <w:bottom w:val="nil"/>
          <w:right w:val="nil"/>
          <w:between w:val="nil"/>
        </w:pBdr>
        <w:tabs>
          <w:tab w:val="center" w:pos="4419"/>
          <w:tab w:val="right" w:pos="8838"/>
        </w:tabs>
        <w:spacing w:after="0"/>
        <w:jc w:val="both"/>
        <w:rPr>
          <w:rFonts w:ascii="Arial" w:hAnsi="Arial" w:cs="Arial"/>
          <w:sz w:val="24"/>
          <w:szCs w:val="24"/>
          <w:lang w:val="es-ES" w:eastAsia="es-ES"/>
        </w:rPr>
      </w:pPr>
    </w:p>
    <w:p w14:paraId="7D23D1CA" w14:textId="5CA72553" w:rsidR="002F3CBC" w:rsidRPr="00D916B7" w:rsidRDefault="002F3CBC" w:rsidP="00D70478">
      <w:pPr>
        <w:pStyle w:val="Sinespaciado"/>
        <w:spacing w:line="276" w:lineRule="auto"/>
        <w:jc w:val="both"/>
        <w:rPr>
          <w:rFonts w:ascii="Arial" w:hAnsi="Arial" w:cs="Arial"/>
          <w:sz w:val="24"/>
          <w:szCs w:val="24"/>
        </w:rPr>
      </w:pPr>
      <w:r w:rsidRPr="00D916B7">
        <w:rPr>
          <w:rFonts w:ascii="Arial" w:hAnsi="Arial" w:cs="Arial"/>
          <w:b/>
          <w:sz w:val="24"/>
          <w:szCs w:val="24"/>
          <w:lang w:val="es-ES_tradnl"/>
        </w:rPr>
        <w:t>4</w:t>
      </w:r>
      <w:r w:rsidR="006743BC" w:rsidRPr="00D916B7">
        <w:rPr>
          <w:rFonts w:ascii="Arial" w:hAnsi="Arial" w:cs="Arial"/>
          <w:b/>
          <w:sz w:val="24"/>
          <w:szCs w:val="24"/>
          <w:lang w:val="es-ES_tradnl"/>
        </w:rPr>
        <w:t xml:space="preserve">. </w:t>
      </w:r>
      <w:r w:rsidR="00F52854" w:rsidRPr="00D916B7">
        <w:rPr>
          <w:rFonts w:ascii="Arial" w:hAnsi="Arial" w:cs="Arial"/>
          <w:b/>
          <w:sz w:val="24"/>
          <w:szCs w:val="24"/>
        </w:rPr>
        <w:t xml:space="preserve">Acuerdo </w:t>
      </w:r>
      <w:r w:rsidRPr="00D916B7">
        <w:rPr>
          <w:rFonts w:ascii="Arial" w:hAnsi="Arial" w:cs="Arial"/>
          <w:b/>
          <w:sz w:val="24"/>
          <w:szCs w:val="24"/>
        </w:rPr>
        <w:t>de radicación</w:t>
      </w:r>
      <w:r w:rsidR="006743BC" w:rsidRPr="00D916B7">
        <w:rPr>
          <w:rFonts w:ascii="Arial" w:hAnsi="Arial" w:cs="Arial"/>
          <w:b/>
          <w:sz w:val="24"/>
          <w:szCs w:val="24"/>
        </w:rPr>
        <w:t xml:space="preserve">. </w:t>
      </w:r>
      <w:r w:rsidR="001A550F" w:rsidRPr="00D916B7">
        <w:rPr>
          <w:rFonts w:ascii="Arial" w:hAnsi="Arial" w:cs="Arial"/>
          <w:sz w:val="24"/>
          <w:szCs w:val="24"/>
        </w:rPr>
        <w:t xml:space="preserve">Por acuerdo </w:t>
      </w:r>
      <w:r w:rsidR="004C4B5F" w:rsidRPr="00D916B7">
        <w:rPr>
          <w:rFonts w:ascii="Arial" w:hAnsi="Arial" w:cs="Arial"/>
          <w:sz w:val="24"/>
          <w:szCs w:val="24"/>
        </w:rPr>
        <w:t xml:space="preserve">de </w:t>
      </w:r>
      <w:r w:rsidRPr="00D916B7">
        <w:rPr>
          <w:rFonts w:ascii="Arial" w:hAnsi="Arial" w:cs="Arial"/>
          <w:sz w:val="24"/>
          <w:szCs w:val="24"/>
        </w:rPr>
        <w:t>veintiocho</w:t>
      </w:r>
      <w:r w:rsidR="00C01BED" w:rsidRPr="00D916B7">
        <w:rPr>
          <w:rFonts w:ascii="Arial" w:hAnsi="Arial" w:cs="Arial"/>
          <w:sz w:val="24"/>
          <w:szCs w:val="24"/>
        </w:rPr>
        <w:t xml:space="preserve"> de </w:t>
      </w:r>
      <w:r w:rsidRPr="00D916B7">
        <w:rPr>
          <w:rFonts w:ascii="Arial" w:hAnsi="Arial" w:cs="Arial"/>
          <w:sz w:val="24"/>
          <w:szCs w:val="24"/>
        </w:rPr>
        <w:t>febrero</w:t>
      </w:r>
      <w:r w:rsidR="008F7A13" w:rsidRPr="00D916B7">
        <w:rPr>
          <w:rFonts w:ascii="Arial" w:hAnsi="Arial" w:cs="Arial"/>
          <w:sz w:val="24"/>
          <w:szCs w:val="24"/>
        </w:rPr>
        <w:t>,</w:t>
      </w:r>
      <w:r w:rsidRPr="00D916B7">
        <w:rPr>
          <w:rFonts w:ascii="Arial" w:hAnsi="Arial" w:cs="Arial"/>
          <w:sz w:val="24"/>
          <w:szCs w:val="24"/>
        </w:rPr>
        <w:t xml:space="preserve"> y una vez agotado el trámite establecido por el artículo 585, se radicó el presente </w:t>
      </w:r>
      <w:r w:rsidR="00F8473E" w:rsidRPr="00D916B7">
        <w:rPr>
          <w:rFonts w:ascii="Arial" w:hAnsi="Arial" w:cs="Arial"/>
          <w:sz w:val="24"/>
          <w:szCs w:val="24"/>
        </w:rPr>
        <w:t>recurso de</w:t>
      </w:r>
      <w:r w:rsidR="008F7A13" w:rsidRPr="00D916B7">
        <w:rPr>
          <w:rFonts w:ascii="Arial" w:hAnsi="Arial" w:cs="Arial"/>
          <w:sz w:val="24"/>
          <w:szCs w:val="24"/>
        </w:rPr>
        <w:t xml:space="preserve"> revisión</w:t>
      </w:r>
      <w:r w:rsidRPr="00D916B7">
        <w:rPr>
          <w:rFonts w:ascii="Arial" w:hAnsi="Arial" w:cs="Arial"/>
          <w:sz w:val="24"/>
          <w:szCs w:val="24"/>
        </w:rPr>
        <w:t xml:space="preserve"> co</w:t>
      </w:r>
      <w:r w:rsidR="00D70478" w:rsidRPr="00D916B7">
        <w:rPr>
          <w:rFonts w:ascii="Arial" w:hAnsi="Arial" w:cs="Arial"/>
          <w:sz w:val="24"/>
          <w:szCs w:val="24"/>
        </w:rPr>
        <w:t>n</w:t>
      </w:r>
      <w:r w:rsidRPr="00D916B7">
        <w:rPr>
          <w:rFonts w:ascii="Arial" w:hAnsi="Arial" w:cs="Arial"/>
          <w:sz w:val="24"/>
          <w:szCs w:val="24"/>
        </w:rPr>
        <w:t xml:space="preserve"> la clave REV-001/2023.</w:t>
      </w:r>
    </w:p>
    <w:p w14:paraId="3A246D41" w14:textId="4224735E" w:rsidR="002F3CBC" w:rsidRPr="00D916B7" w:rsidRDefault="002F3CBC" w:rsidP="00D70478">
      <w:pPr>
        <w:pStyle w:val="Sinespaciado"/>
        <w:spacing w:line="276" w:lineRule="auto"/>
        <w:jc w:val="both"/>
        <w:rPr>
          <w:rFonts w:ascii="Arial" w:hAnsi="Arial" w:cs="Arial"/>
          <w:bCs/>
          <w:sz w:val="24"/>
          <w:szCs w:val="24"/>
          <w:highlight w:val="yellow"/>
        </w:rPr>
      </w:pPr>
    </w:p>
    <w:p w14:paraId="1345917A" w14:textId="421899FE" w:rsidR="002F3CBC" w:rsidRPr="00D916B7" w:rsidRDefault="002F3CBC" w:rsidP="00D70478">
      <w:pPr>
        <w:pStyle w:val="Sinespaciado"/>
        <w:spacing w:line="276" w:lineRule="auto"/>
        <w:jc w:val="both"/>
        <w:rPr>
          <w:rFonts w:ascii="Arial" w:hAnsi="Arial" w:cs="Arial"/>
          <w:b/>
          <w:sz w:val="24"/>
          <w:szCs w:val="24"/>
        </w:rPr>
      </w:pPr>
      <w:r w:rsidRPr="00D916B7">
        <w:rPr>
          <w:rFonts w:ascii="Arial" w:hAnsi="Arial" w:cs="Arial"/>
          <w:b/>
          <w:sz w:val="24"/>
          <w:szCs w:val="24"/>
        </w:rPr>
        <w:t>5. Acuerdo de admisión</w:t>
      </w:r>
      <w:r w:rsidRPr="00D916B7">
        <w:rPr>
          <w:rFonts w:ascii="Arial" w:hAnsi="Arial" w:cs="Arial"/>
          <w:bCs/>
          <w:sz w:val="24"/>
          <w:szCs w:val="24"/>
        </w:rPr>
        <w:t xml:space="preserve">. El </w:t>
      </w:r>
      <w:r w:rsidR="006F66C0" w:rsidRPr="00D916B7">
        <w:rPr>
          <w:rFonts w:ascii="Arial" w:hAnsi="Arial" w:cs="Arial"/>
          <w:bCs/>
          <w:sz w:val="24"/>
          <w:szCs w:val="24"/>
        </w:rPr>
        <w:t xml:space="preserve">diecisiete </w:t>
      </w:r>
      <w:r w:rsidRPr="00D916B7">
        <w:rPr>
          <w:rFonts w:ascii="Arial" w:hAnsi="Arial" w:cs="Arial"/>
          <w:bCs/>
          <w:sz w:val="24"/>
          <w:szCs w:val="24"/>
        </w:rPr>
        <w:t xml:space="preserve">de marzo, se dictó proveído que admitió a trámite el presente recurso de revisión y se reservaron </w:t>
      </w:r>
      <w:r w:rsidR="00D70478" w:rsidRPr="00D916B7">
        <w:rPr>
          <w:rFonts w:ascii="Arial" w:hAnsi="Arial" w:cs="Arial"/>
          <w:bCs/>
          <w:sz w:val="24"/>
          <w:szCs w:val="24"/>
        </w:rPr>
        <w:t xml:space="preserve">las </w:t>
      </w:r>
      <w:r w:rsidRPr="00D916B7">
        <w:rPr>
          <w:rFonts w:ascii="Arial" w:hAnsi="Arial" w:cs="Arial"/>
          <w:bCs/>
          <w:sz w:val="24"/>
          <w:szCs w:val="24"/>
        </w:rPr>
        <w:t>actuaciones para que el Consejo General del Instituto Electoral resuelva lo conducente.</w:t>
      </w:r>
    </w:p>
    <w:p w14:paraId="7204C1B8" w14:textId="4D191FBE" w:rsidR="00EB1DBC" w:rsidRDefault="00EB1DBC" w:rsidP="00D70478">
      <w:pPr>
        <w:pStyle w:val="Sinespaciado"/>
        <w:spacing w:line="276" w:lineRule="auto"/>
        <w:jc w:val="both"/>
        <w:rPr>
          <w:rFonts w:ascii="Arial" w:hAnsi="Arial" w:cs="Arial"/>
          <w:sz w:val="24"/>
          <w:szCs w:val="24"/>
          <w:lang w:val="es-ES"/>
        </w:rPr>
      </w:pPr>
    </w:p>
    <w:p w14:paraId="57E3A6A5" w14:textId="77777777" w:rsidR="00FA1FFC" w:rsidRPr="00D916B7" w:rsidRDefault="00FA1FFC" w:rsidP="00D70478">
      <w:pPr>
        <w:pStyle w:val="Sinespaciado"/>
        <w:spacing w:line="276" w:lineRule="auto"/>
        <w:jc w:val="both"/>
        <w:rPr>
          <w:rFonts w:ascii="Arial" w:hAnsi="Arial" w:cs="Arial"/>
          <w:sz w:val="24"/>
          <w:szCs w:val="24"/>
          <w:lang w:val="es-ES"/>
        </w:rPr>
      </w:pPr>
    </w:p>
    <w:p w14:paraId="06944593" w14:textId="77777777" w:rsidR="00E03D2E" w:rsidRPr="00D916B7" w:rsidRDefault="00E03D2E" w:rsidP="00D70478">
      <w:pPr>
        <w:pStyle w:val="Sinespaciado"/>
        <w:spacing w:line="276" w:lineRule="auto"/>
        <w:jc w:val="center"/>
        <w:rPr>
          <w:rFonts w:ascii="Arial" w:hAnsi="Arial" w:cs="Arial"/>
          <w:b/>
          <w:sz w:val="24"/>
          <w:szCs w:val="24"/>
        </w:rPr>
      </w:pPr>
      <w:r w:rsidRPr="00D916B7">
        <w:rPr>
          <w:rFonts w:ascii="Arial" w:hAnsi="Arial" w:cs="Arial"/>
          <w:b/>
          <w:sz w:val="24"/>
          <w:szCs w:val="24"/>
        </w:rPr>
        <w:t>C O N S I D E R A C I O N E S</w:t>
      </w:r>
    </w:p>
    <w:p w14:paraId="013DCEF4" w14:textId="537CF3FD" w:rsidR="00E03D2E" w:rsidRDefault="00E03D2E" w:rsidP="00D70478">
      <w:pPr>
        <w:pStyle w:val="Sinespaciado"/>
        <w:spacing w:line="276" w:lineRule="auto"/>
        <w:jc w:val="both"/>
        <w:rPr>
          <w:rFonts w:ascii="Arial" w:hAnsi="Arial" w:cs="Arial"/>
          <w:sz w:val="24"/>
          <w:szCs w:val="24"/>
        </w:rPr>
      </w:pPr>
    </w:p>
    <w:p w14:paraId="7BA907E6" w14:textId="77777777" w:rsidR="00FA1FFC" w:rsidRPr="00D916B7" w:rsidRDefault="00FA1FFC" w:rsidP="00D70478">
      <w:pPr>
        <w:pStyle w:val="Sinespaciado"/>
        <w:spacing w:line="276" w:lineRule="auto"/>
        <w:jc w:val="both"/>
        <w:rPr>
          <w:rFonts w:ascii="Arial" w:hAnsi="Arial" w:cs="Arial"/>
          <w:sz w:val="24"/>
          <w:szCs w:val="24"/>
        </w:rPr>
      </w:pPr>
    </w:p>
    <w:p w14:paraId="3B39231C" w14:textId="18EDBB18" w:rsidR="00E03D2E" w:rsidRPr="00D916B7" w:rsidRDefault="00920B1F" w:rsidP="00D70478">
      <w:pPr>
        <w:pStyle w:val="Sinespaciado"/>
        <w:spacing w:line="276" w:lineRule="auto"/>
        <w:jc w:val="both"/>
        <w:rPr>
          <w:rFonts w:ascii="Arial" w:eastAsiaTheme="minorEastAsia" w:hAnsi="Arial" w:cs="Arial"/>
          <w:sz w:val="24"/>
          <w:szCs w:val="24"/>
          <w:lang w:eastAsia="es-MX"/>
        </w:rPr>
      </w:pPr>
      <w:r w:rsidRPr="00D916B7">
        <w:rPr>
          <w:rFonts w:ascii="Arial" w:eastAsiaTheme="minorEastAsia" w:hAnsi="Arial" w:cs="Arial"/>
          <w:b/>
          <w:sz w:val="24"/>
          <w:szCs w:val="24"/>
          <w:lang w:eastAsia="es-MX"/>
        </w:rPr>
        <w:t>I</w:t>
      </w:r>
      <w:r w:rsidR="00E03D2E" w:rsidRPr="00D916B7">
        <w:rPr>
          <w:rFonts w:ascii="Arial" w:eastAsiaTheme="minorEastAsia" w:hAnsi="Arial" w:cs="Arial"/>
          <w:b/>
          <w:sz w:val="24"/>
          <w:szCs w:val="24"/>
          <w:lang w:eastAsia="es-MX"/>
        </w:rPr>
        <w:t>. C</w:t>
      </w:r>
      <w:r w:rsidR="00962DAE" w:rsidRPr="00D916B7">
        <w:rPr>
          <w:rFonts w:ascii="Arial" w:eastAsiaTheme="minorEastAsia" w:hAnsi="Arial" w:cs="Arial"/>
          <w:b/>
          <w:sz w:val="24"/>
          <w:szCs w:val="24"/>
          <w:lang w:eastAsia="es-MX"/>
        </w:rPr>
        <w:t>ompetencia</w:t>
      </w:r>
      <w:r w:rsidR="00E03D2E" w:rsidRPr="00D916B7">
        <w:rPr>
          <w:rFonts w:ascii="Arial" w:eastAsiaTheme="minorEastAsia" w:hAnsi="Arial" w:cs="Arial"/>
          <w:b/>
          <w:sz w:val="24"/>
          <w:szCs w:val="24"/>
          <w:lang w:eastAsia="es-MX"/>
        </w:rPr>
        <w:t>.</w:t>
      </w:r>
      <w:r w:rsidR="00814FEE" w:rsidRPr="00D916B7">
        <w:rPr>
          <w:rFonts w:ascii="Arial" w:eastAsiaTheme="minorEastAsia" w:hAnsi="Arial" w:cs="Arial"/>
          <w:sz w:val="24"/>
          <w:szCs w:val="24"/>
          <w:lang w:eastAsia="es-MX"/>
        </w:rPr>
        <w:t xml:space="preserve"> El Consejo General del I</w:t>
      </w:r>
      <w:r w:rsidR="00E03D2E" w:rsidRPr="00D916B7">
        <w:rPr>
          <w:rFonts w:ascii="Arial" w:eastAsiaTheme="minorEastAsia" w:hAnsi="Arial" w:cs="Arial"/>
          <w:sz w:val="24"/>
          <w:szCs w:val="24"/>
          <w:lang w:eastAsia="es-MX"/>
        </w:rPr>
        <w:t xml:space="preserve">nstituto </w:t>
      </w:r>
      <w:r w:rsidR="00814FEE" w:rsidRPr="00D916B7">
        <w:rPr>
          <w:rFonts w:ascii="Arial" w:eastAsiaTheme="minorEastAsia" w:hAnsi="Arial" w:cs="Arial"/>
          <w:sz w:val="24"/>
          <w:szCs w:val="24"/>
          <w:lang w:eastAsia="es-MX"/>
        </w:rPr>
        <w:t xml:space="preserve">Electoral </w:t>
      </w:r>
      <w:r w:rsidR="00E03D2E" w:rsidRPr="00D916B7">
        <w:rPr>
          <w:rFonts w:ascii="Arial" w:eastAsiaTheme="minorEastAsia" w:hAnsi="Arial" w:cs="Arial"/>
          <w:sz w:val="24"/>
          <w:szCs w:val="24"/>
          <w:lang w:eastAsia="es-MX"/>
        </w:rPr>
        <w:t xml:space="preserve">es competente para conocer y resolver el presente recurso, </w:t>
      </w:r>
      <w:r w:rsidR="006073FD" w:rsidRPr="00D916B7">
        <w:rPr>
          <w:rFonts w:ascii="Arial" w:eastAsiaTheme="minorEastAsia" w:hAnsi="Arial" w:cs="Arial"/>
          <w:sz w:val="24"/>
          <w:szCs w:val="24"/>
          <w:lang w:eastAsia="es-MX"/>
        </w:rPr>
        <w:t xml:space="preserve">ello </w:t>
      </w:r>
      <w:proofErr w:type="gramStart"/>
      <w:r w:rsidR="006073FD" w:rsidRPr="00D916B7">
        <w:rPr>
          <w:rFonts w:ascii="Arial" w:eastAsiaTheme="minorEastAsia" w:hAnsi="Arial" w:cs="Arial"/>
          <w:sz w:val="24"/>
          <w:szCs w:val="24"/>
          <w:lang w:eastAsia="es-MX"/>
        </w:rPr>
        <w:t>en razón de</w:t>
      </w:r>
      <w:proofErr w:type="gramEnd"/>
      <w:r w:rsidR="006073FD" w:rsidRPr="00D916B7">
        <w:rPr>
          <w:rFonts w:ascii="Arial" w:eastAsiaTheme="minorEastAsia" w:hAnsi="Arial" w:cs="Arial"/>
          <w:sz w:val="24"/>
          <w:szCs w:val="24"/>
          <w:lang w:eastAsia="es-MX"/>
        </w:rPr>
        <w:t xml:space="preserve"> que se </w:t>
      </w:r>
      <w:r w:rsidR="00E03D2E" w:rsidRPr="00D916B7">
        <w:rPr>
          <w:rFonts w:ascii="Arial" w:eastAsiaTheme="minorEastAsia" w:hAnsi="Arial" w:cs="Arial"/>
          <w:sz w:val="24"/>
          <w:szCs w:val="24"/>
          <w:lang w:eastAsia="es-MX"/>
        </w:rPr>
        <w:t>controvierte</w:t>
      </w:r>
      <w:r w:rsidR="00BD5E56" w:rsidRPr="00D916B7">
        <w:rPr>
          <w:rFonts w:ascii="Arial" w:eastAsiaTheme="minorEastAsia" w:hAnsi="Arial" w:cs="Arial"/>
          <w:sz w:val="24"/>
          <w:szCs w:val="24"/>
          <w:lang w:eastAsia="es-MX"/>
        </w:rPr>
        <w:t xml:space="preserve"> </w:t>
      </w:r>
      <w:r w:rsidR="009847FB" w:rsidRPr="00D916B7">
        <w:rPr>
          <w:rFonts w:ascii="Arial" w:eastAsiaTheme="minorEastAsia" w:hAnsi="Arial" w:cs="Arial"/>
          <w:sz w:val="24"/>
          <w:szCs w:val="24"/>
          <w:lang w:eastAsia="es-MX"/>
        </w:rPr>
        <w:t xml:space="preserve">un </w:t>
      </w:r>
      <w:r w:rsidR="00BD5E56" w:rsidRPr="00D916B7">
        <w:rPr>
          <w:rFonts w:ascii="Arial" w:eastAsiaTheme="minorEastAsia" w:hAnsi="Arial" w:cs="Arial"/>
          <w:sz w:val="24"/>
          <w:szCs w:val="24"/>
          <w:lang w:eastAsia="es-MX"/>
        </w:rPr>
        <w:t xml:space="preserve">acuerdo </w:t>
      </w:r>
      <w:r w:rsidR="008A73E0" w:rsidRPr="00D916B7">
        <w:rPr>
          <w:rFonts w:ascii="Arial" w:eastAsiaTheme="minorEastAsia" w:hAnsi="Arial" w:cs="Arial"/>
          <w:sz w:val="24"/>
          <w:szCs w:val="24"/>
          <w:lang w:eastAsia="es-MX"/>
        </w:rPr>
        <w:t xml:space="preserve">emitido por la Secretaría Ejecutiva de este </w:t>
      </w:r>
      <w:r w:rsidR="007F6B74" w:rsidRPr="00D916B7">
        <w:rPr>
          <w:rFonts w:ascii="Arial" w:eastAsiaTheme="minorEastAsia" w:hAnsi="Arial" w:cs="Arial"/>
          <w:sz w:val="24"/>
          <w:szCs w:val="24"/>
          <w:lang w:eastAsia="es-MX"/>
        </w:rPr>
        <w:t>organismo electoral</w:t>
      </w:r>
      <w:r w:rsidR="006073FD" w:rsidRPr="00D916B7">
        <w:rPr>
          <w:rStyle w:val="Refdenotaalpie"/>
          <w:rFonts w:ascii="Arial" w:eastAsiaTheme="minorEastAsia" w:hAnsi="Arial" w:cs="Arial"/>
          <w:sz w:val="24"/>
          <w:szCs w:val="24"/>
          <w:lang w:eastAsia="es-MX"/>
        </w:rPr>
        <w:footnoteReference w:id="3"/>
      </w:r>
      <w:r w:rsidR="005D70C9" w:rsidRPr="00D916B7">
        <w:rPr>
          <w:rFonts w:ascii="Arial" w:eastAsiaTheme="minorEastAsia" w:hAnsi="Arial" w:cs="Arial"/>
          <w:sz w:val="24"/>
          <w:szCs w:val="24"/>
          <w:lang w:eastAsia="es-MX"/>
        </w:rPr>
        <w:t>, de conformidad con lo dispuesto en l</w:t>
      </w:r>
      <w:r w:rsidR="00155009" w:rsidRPr="00D916B7">
        <w:rPr>
          <w:rFonts w:ascii="Arial" w:eastAsiaTheme="minorEastAsia" w:hAnsi="Arial" w:cs="Arial"/>
          <w:sz w:val="24"/>
          <w:szCs w:val="24"/>
          <w:lang w:eastAsia="es-MX"/>
        </w:rPr>
        <w:t>os</w:t>
      </w:r>
      <w:r w:rsidR="005D70C9" w:rsidRPr="00D916B7">
        <w:rPr>
          <w:rFonts w:ascii="Arial" w:eastAsiaTheme="minorEastAsia" w:hAnsi="Arial" w:cs="Arial"/>
          <w:sz w:val="24"/>
          <w:szCs w:val="24"/>
          <w:lang w:eastAsia="es-MX"/>
        </w:rPr>
        <w:t xml:space="preserve"> artículo</w:t>
      </w:r>
      <w:r w:rsidR="00155009" w:rsidRPr="00D916B7">
        <w:rPr>
          <w:rFonts w:ascii="Arial" w:eastAsiaTheme="minorEastAsia" w:hAnsi="Arial" w:cs="Arial"/>
          <w:sz w:val="24"/>
          <w:szCs w:val="24"/>
          <w:lang w:eastAsia="es-MX"/>
        </w:rPr>
        <w:t>s</w:t>
      </w:r>
      <w:r w:rsidR="005D70C9" w:rsidRPr="00D916B7">
        <w:rPr>
          <w:rFonts w:ascii="Arial" w:eastAsiaTheme="minorEastAsia" w:hAnsi="Arial" w:cs="Arial"/>
          <w:sz w:val="24"/>
          <w:szCs w:val="24"/>
          <w:lang w:eastAsia="es-MX"/>
        </w:rPr>
        <w:t xml:space="preserve"> 502, numeral 1, fracción I</w:t>
      </w:r>
      <w:r w:rsidR="00155009" w:rsidRPr="00D916B7">
        <w:rPr>
          <w:rFonts w:ascii="Arial" w:eastAsiaTheme="minorEastAsia" w:hAnsi="Arial" w:cs="Arial"/>
          <w:sz w:val="24"/>
          <w:szCs w:val="24"/>
          <w:lang w:eastAsia="es-MX"/>
        </w:rPr>
        <w:t>; 578;</w:t>
      </w:r>
      <w:r w:rsidR="005D70C9" w:rsidRPr="00D916B7">
        <w:rPr>
          <w:rFonts w:ascii="Arial" w:eastAsiaTheme="minorEastAsia" w:hAnsi="Arial" w:cs="Arial"/>
          <w:sz w:val="24"/>
          <w:szCs w:val="24"/>
          <w:lang w:eastAsia="es-MX"/>
        </w:rPr>
        <w:t xml:space="preserve"> y 580, numeral I, fracción I, del Código Electoral del Estado de Jalisco</w:t>
      </w:r>
      <w:r w:rsidR="006073FD" w:rsidRPr="00D916B7">
        <w:rPr>
          <w:rFonts w:ascii="Arial" w:eastAsiaTheme="minorEastAsia" w:hAnsi="Arial" w:cs="Arial"/>
          <w:sz w:val="24"/>
          <w:szCs w:val="24"/>
          <w:lang w:eastAsia="es-MX"/>
        </w:rPr>
        <w:t xml:space="preserve">. </w:t>
      </w:r>
    </w:p>
    <w:p w14:paraId="1A04B30E" w14:textId="6ED44288" w:rsidR="00BD5E56" w:rsidRPr="00D916B7" w:rsidRDefault="00BD5E56" w:rsidP="00D70478">
      <w:pPr>
        <w:pStyle w:val="Sinespaciado"/>
        <w:spacing w:line="276" w:lineRule="auto"/>
        <w:jc w:val="both"/>
        <w:rPr>
          <w:rFonts w:ascii="Arial" w:eastAsiaTheme="minorEastAsia" w:hAnsi="Arial" w:cs="Arial"/>
          <w:sz w:val="24"/>
          <w:szCs w:val="24"/>
          <w:lang w:eastAsia="es-MX"/>
        </w:rPr>
      </w:pPr>
    </w:p>
    <w:p w14:paraId="7EC9C9BD" w14:textId="46E1E1D7" w:rsidR="00416BAF" w:rsidRPr="00D916B7" w:rsidRDefault="00416BAF" w:rsidP="00D70478">
      <w:pPr>
        <w:widowControl w:val="0"/>
        <w:tabs>
          <w:tab w:val="left" w:pos="-720"/>
        </w:tabs>
        <w:suppressAutoHyphens/>
        <w:spacing w:after="0"/>
        <w:jc w:val="both"/>
        <w:rPr>
          <w:rFonts w:ascii="Arial" w:hAnsi="Arial" w:cs="Arial"/>
          <w:snapToGrid w:val="0"/>
          <w:sz w:val="24"/>
          <w:szCs w:val="24"/>
          <w:lang w:eastAsia="es-ES"/>
        </w:rPr>
      </w:pPr>
      <w:r w:rsidRPr="00D916B7">
        <w:rPr>
          <w:rFonts w:ascii="Arial" w:hAnsi="Arial" w:cs="Arial"/>
          <w:b/>
          <w:snapToGrid w:val="0"/>
          <w:sz w:val="24"/>
          <w:szCs w:val="24"/>
          <w:lang w:eastAsia="es-ES"/>
        </w:rPr>
        <w:t>II. C</w:t>
      </w:r>
      <w:r w:rsidR="00962DAE" w:rsidRPr="00D916B7">
        <w:rPr>
          <w:rFonts w:ascii="Arial" w:hAnsi="Arial" w:cs="Arial"/>
          <w:b/>
          <w:snapToGrid w:val="0"/>
          <w:sz w:val="24"/>
          <w:szCs w:val="24"/>
          <w:lang w:eastAsia="es-ES"/>
        </w:rPr>
        <w:t>ausales de improcedencia</w:t>
      </w:r>
      <w:r w:rsidRPr="00D916B7">
        <w:rPr>
          <w:rFonts w:ascii="Arial" w:hAnsi="Arial" w:cs="Arial"/>
          <w:b/>
          <w:snapToGrid w:val="0"/>
          <w:sz w:val="24"/>
          <w:szCs w:val="24"/>
          <w:lang w:eastAsia="es-ES"/>
        </w:rPr>
        <w:t xml:space="preserve">. </w:t>
      </w:r>
      <w:r w:rsidRPr="00D916B7">
        <w:rPr>
          <w:rFonts w:ascii="Arial" w:hAnsi="Arial" w:cs="Arial"/>
          <w:snapToGrid w:val="0"/>
          <w:sz w:val="24"/>
          <w:szCs w:val="24"/>
          <w:lang w:eastAsia="es-ES"/>
        </w:rPr>
        <w:t xml:space="preserve">En ese sentido, al admitirse el presente recurso, no se advirtió la existencia o actualización de alguna de las causales de improcedencia previstas por el artículo 509 del Código Electoral de la </w:t>
      </w:r>
      <w:r w:rsidR="005D70C9" w:rsidRPr="00D916B7">
        <w:rPr>
          <w:rFonts w:ascii="Arial" w:hAnsi="Arial" w:cs="Arial"/>
          <w:snapToGrid w:val="0"/>
          <w:sz w:val="24"/>
          <w:szCs w:val="24"/>
          <w:lang w:eastAsia="es-ES"/>
        </w:rPr>
        <w:t>e</w:t>
      </w:r>
      <w:r w:rsidRPr="00D916B7">
        <w:rPr>
          <w:rFonts w:ascii="Arial" w:hAnsi="Arial" w:cs="Arial"/>
          <w:snapToGrid w:val="0"/>
          <w:sz w:val="24"/>
          <w:szCs w:val="24"/>
          <w:lang w:eastAsia="es-ES"/>
        </w:rPr>
        <w:t>ntidad.</w:t>
      </w:r>
    </w:p>
    <w:p w14:paraId="1E4D42CF" w14:textId="77777777" w:rsidR="00416BAF" w:rsidRPr="00D916B7" w:rsidRDefault="00416BAF" w:rsidP="00D70478">
      <w:pPr>
        <w:widowControl w:val="0"/>
        <w:tabs>
          <w:tab w:val="left" w:pos="-720"/>
        </w:tabs>
        <w:suppressAutoHyphens/>
        <w:spacing w:after="0"/>
        <w:jc w:val="both"/>
        <w:rPr>
          <w:rFonts w:ascii="Arial" w:hAnsi="Arial" w:cs="Arial"/>
          <w:snapToGrid w:val="0"/>
          <w:sz w:val="24"/>
          <w:szCs w:val="24"/>
          <w:lang w:eastAsia="es-ES"/>
        </w:rPr>
      </w:pPr>
    </w:p>
    <w:p w14:paraId="1508CF73" w14:textId="653938C0" w:rsidR="00416BAF" w:rsidRPr="00D916B7" w:rsidRDefault="00416BAF" w:rsidP="00D70478">
      <w:pPr>
        <w:widowControl w:val="0"/>
        <w:tabs>
          <w:tab w:val="left" w:pos="-720"/>
        </w:tabs>
        <w:suppressAutoHyphens/>
        <w:spacing w:after="0"/>
        <w:jc w:val="both"/>
        <w:rPr>
          <w:rFonts w:ascii="Arial" w:hAnsi="Arial" w:cs="Arial"/>
          <w:snapToGrid w:val="0"/>
          <w:sz w:val="24"/>
          <w:szCs w:val="24"/>
          <w:lang w:eastAsia="es-ES"/>
        </w:rPr>
      </w:pPr>
      <w:r w:rsidRPr="00D916B7">
        <w:rPr>
          <w:rFonts w:ascii="Arial" w:hAnsi="Arial" w:cs="Arial"/>
          <w:snapToGrid w:val="0"/>
          <w:sz w:val="24"/>
          <w:szCs w:val="24"/>
          <w:lang w:eastAsia="es-ES"/>
        </w:rPr>
        <w:t xml:space="preserve">En consecuencia, y toda vez que no se ha actualizado alguna causal de improcedencia o </w:t>
      </w:r>
      <w:proofErr w:type="spellStart"/>
      <w:r w:rsidRPr="00D916B7">
        <w:rPr>
          <w:rFonts w:ascii="Arial" w:hAnsi="Arial" w:cs="Arial"/>
          <w:snapToGrid w:val="0"/>
          <w:sz w:val="24"/>
          <w:szCs w:val="24"/>
          <w:lang w:eastAsia="es-ES"/>
        </w:rPr>
        <w:t>desechamiento</w:t>
      </w:r>
      <w:proofErr w:type="spellEnd"/>
      <w:r w:rsidRPr="00D916B7">
        <w:rPr>
          <w:rFonts w:ascii="Arial" w:hAnsi="Arial" w:cs="Arial"/>
          <w:snapToGrid w:val="0"/>
          <w:sz w:val="24"/>
          <w:szCs w:val="24"/>
          <w:lang w:eastAsia="es-ES"/>
        </w:rPr>
        <w:t xml:space="preserve"> que impida se aborde el presente recurso, este </w:t>
      </w:r>
      <w:r w:rsidR="005D70C9" w:rsidRPr="00D916B7">
        <w:rPr>
          <w:rFonts w:ascii="Arial" w:hAnsi="Arial" w:cs="Arial"/>
          <w:snapToGrid w:val="0"/>
          <w:sz w:val="24"/>
          <w:szCs w:val="24"/>
          <w:lang w:eastAsia="es-ES"/>
        </w:rPr>
        <w:t>Consejo General</w:t>
      </w:r>
      <w:r w:rsidRPr="00D916B7">
        <w:rPr>
          <w:rFonts w:ascii="Arial" w:hAnsi="Arial" w:cs="Arial"/>
          <w:snapToGrid w:val="0"/>
          <w:sz w:val="24"/>
          <w:szCs w:val="24"/>
          <w:lang w:eastAsia="es-ES"/>
        </w:rPr>
        <w:t>, procede al estudio de fondo.</w:t>
      </w:r>
    </w:p>
    <w:p w14:paraId="0E0B36DD" w14:textId="77777777" w:rsidR="00416BAF" w:rsidRPr="00D916B7" w:rsidRDefault="00416BAF" w:rsidP="00D70478">
      <w:pPr>
        <w:spacing w:after="0"/>
        <w:jc w:val="both"/>
        <w:rPr>
          <w:rFonts w:ascii="Arial" w:hAnsi="Arial" w:cs="Arial"/>
          <w:b/>
          <w:sz w:val="24"/>
          <w:szCs w:val="24"/>
          <w:lang w:eastAsia="es-MX"/>
        </w:rPr>
      </w:pPr>
    </w:p>
    <w:p w14:paraId="5F4465B8" w14:textId="76057AA4" w:rsidR="00416BAF" w:rsidRPr="00D916B7" w:rsidRDefault="00416BAF" w:rsidP="00D70478">
      <w:pPr>
        <w:widowControl w:val="0"/>
        <w:tabs>
          <w:tab w:val="left" w:pos="-720"/>
        </w:tabs>
        <w:suppressAutoHyphens/>
        <w:spacing w:after="0"/>
        <w:jc w:val="both"/>
        <w:rPr>
          <w:rFonts w:ascii="Arial" w:hAnsi="Arial" w:cs="Arial"/>
          <w:snapToGrid w:val="0"/>
          <w:sz w:val="24"/>
          <w:szCs w:val="24"/>
          <w:lang w:eastAsia="es-ES"/>
        </w:rPr>
      </w:pPr>
      <w:r w:rsidRPr="00D916B7">
        <w:rPr>
          <w:rFonts w:ascii="Arial" w:hAnsi="Arial" w:cs="Arial"/>
          <w:b/>
          <w:sz w:val="24"/>
          <w:szCs w:val="24"/>
          <w:lang w:val="es-ES" w:eastAsia="es-ES"/>
        </w:rPr>
        <w:t>III. R</w:t>
      </w:r>
      <w:r w:rsidR="00962DAE" w:rsidRPr="00D916B7">
        <w:rPr>
          <w:rFonts w:ascii="Arial" w:hAnsi="Arial" w:cs="Arial"/>
          <w:b/>
          <w:sz w:val="24"/>
          <w:szCs w:val="24"/>
          <w:lang w:val="es-ES" w:eastAsia="es-ES"/>
        </w:rPr>
        <w:t>equisitos de procedencia</w:t>
      </w:r>
      <w:r w:rsidRPr="00D916B7">
        <w:rPr>
          <w:rFonts w:ascii="Arial" w:hAnsi="Arial" w:cs="Arial"/>
          <w:b/>
          <w:sz w:val="24"/>
          <w:szCs w:val="24"/>
          <w:lang w:val="es-ES" w:eastAsia="es-ES"/>
        </w:rPr>
        <w:t>.</w:t>
      </w:r>
      <w:r w:rsidRPr="00D916B7">
        <w:rPr>
          <w:rFonts w:ascii="Arial" w:hAnsi="Arial" w:cs="Arial"/>
          <w:b/>
          <w:snapToGrid w:val="0"/>
          <w:sz w:val="24"/>
          <w:szCs w:val="24"/>
          <w:lang w:eastAsia="es-ES"/>
        </w:rPr>
        <w:t xml:space="preserve"> </w:t>
      </w:r>
      <w:r w:rsidRPr="00D916B7">
        <w:rPr>
          <w:rFonts w:ascii="Arial" w:hAnsi="Arial" w:cs="Arial"/>
          <w:snapToGrid w:val="0"/>
          <w:sz w:val="24"/>
          <w:szCs w:val="24"/>
          <w:lang w:eastAsia="es-ES"/>
        </w:rPr>
        <w:t>El presente recurso administrativo reúne los requisitos de procedibilidad, dado que del examen del escrito se advierte que cumple los requisitos generales del medio de impugnación, que prevén los artículos 583, 507 y 577 aplicables al recurso de revisión en los términos de lo dispuesto por el artículo 504 párrafo 1, todos del código en la materia, conforme con lo siguiente:</w:t>
      </w:r>
    </w:p>
    <w:p w14:paraId="5DFF2ED7" w14:textId="77777777" w:rsidR="00416BAF" w:rsidRPr="00D916B7" w:rsidRDefault="00416BAF" w:rsidP="00D70478">
      <w:pPr>
        <w:widowControl w:val="0"/>
        <w:tabs>
          <w:tab w:val="left" w:pos="-720"/>
        </w:tabs>
        <w:suppressAutoHyphens/>
        <w:spacing w:after="0"/>
        <w:jc w:val="both"/>
        <w:rPr>
          <w:rFonts w:ascii="Arial" w:hAnsi="Arial" w:cs="Arial"/>
          <w:snapToGrid w:val="0"/>
          <w:sz w:val="24"/>
          <w:szCs w:val="24"/>
          <w:lang w:eastAsia="es-ES"/>
        </w:rPr>
      </w:pPr>
    </w:p>
    <w:p w14:paraId="319AC73D" w14:textId="0BA30FDE" w:rsidR="00416BAF" w:rsidRPr="00D916B7" w:rsidRDefault="00416BAF" w:rsidP="00A05B94">
      <w:pPr>
        <w:widowControl w:val="0"/>
        <w:spacing w:after="0"/>
        <w:jc w:val="both"/>
        <w:rPr>
          <w:rFonts w:ascii="Arial" w:hAnsi="Arial" w:cs="Arial"/>
          <w:sz w:val="24"/>
          <w:szCs w:val="24"/>
          <w:lang w:val="es-ES"/>
        </w:rPr>
      </w:pPr>
      <w:r w:rsidRPr="00D916B7">
        <w:rPr>
          <w:rFonts w:ascii="Arial" w:hAnsi="Arial" w:cs="Arial"/>
          <w:b/>
          <w:snapToGrid w:val="0"/>
          <w:sz w:val="24"/>
          <w:szCs w:val="24"/>
          <w:lang w:eastAsia="es-ES"/>
        </w:rPr>
        <w:t>A)</w:t>
      </w:r>
      <w:r w:rsidRPr="00D916B7">
        <w:rPr>
          <w:rFonts w:ascii="Arial" w:hAnsi="Arial" w:cs="Arial"/>
          <w:snapToGrid w:val="0"/>
          <w:sz w:val="24"/>
          <w:szCs w:val="24"/>
          <w:lang w:eastAsia="es-ES"/>
        </w:rPr>
        <w:t xml:space="preserve"> </w:t>
      </w:r>
      <w:r w:rsidRPr="00D916B7">
        <w:rPr>
          <w:rFonts w:ascii="Arial" w:hAnsi="Arial" w:cs="Arial"/>
          <w:b/>
          <w:bCs/>
          <w:sz w:val="24"/>
          <w:szCs w:val="24"/>
          <w:lang w:val="es-ES"/>
        </w:rPr>
        <w:t xml:space="preserve">Oportunidad. </w:t>
      </w:r>
      <w:r w:rsidR="00A05B94" w:rsidRPr="00D916B7">
        <w:rPr>
          <w:rFonts w:ascii="Arial" w:hAnsi="Arial" w:cs="Arial"/>
          <w:sz w:val="24"/>
          <w:szCs w:val="24"/>
          <w:lang w:val="es-ES"/>
        </w:rPr>
        <w:t xml:space="preserve">El escrito fue </w:t>
      </w:r>
      <w:r w:rsidR="00860326" w:rsidRPr="00D916B7">
        <w:rPr>
          <w:rFonts w:ascii="Arial" w:hAnsi="Arial" w:cs="Arial"/>
          <w:sz w:val="24"/>
          <w:szCs w:val="24"/>
          <w:lang w:val="es-ES"/>
        </w:rPr>
        <w:t>presentado</w:t>
      </w:r>
      <w:r w:rsidR="00A05B94" w:rsidRPr="00D916B7">
        <w:rPr>
          <w:rFonts w:ascii="Arial" w:hAnsi="Arial" w:cs="Arial"/>
          <w:sz w:val="24"/>
          <w:szCs w:val="24"/>
          <w:lang w:val="es-ES"/>
        </w:rPr>
        <w:t xml:space="preserve"> de manera oportuna, pues tomando en consideración que el acuerdo impugnado se notificó el catorce de febrero, tal como se desprende del oficio de notificación 292/202</w:t>
      </w:r>
      <w:r w:rsidR="00D916B7">
        <w:rPr>
          <w:rFonts w:ascii="Arial" w:hAnsi="Arial" w:cs="Arial"/>
          <w:sz w:val="24"/>
          <w:szCs w:val="24"/>
          <w:lang w:val="es-ES"/>
        </w:rPr>
        <w:t>3</w:t>
      </w:r>
      <w:r w:rsidR="00A05B94" w:rsidRPr="00D916B7">
        <w:rPr>
          <w:rFonts w:ascii="Arial" w:hAnsi="Arial" w:cs="Arial"/>
          <w:sz w:val="24"/>
          <w:szCs w:val="24"/>
          <w:lang w:val="es-ES"/>
        </w:rPr>
        <w:t xml:space="preserve"> Secretaría Ejecutiva, el término para la impugnación transcurrió del </w:t>
      </w:r>
      <w:r w:rsidR="00860326" w:rsidRPr="00D916B7">
        <w:rPr>
          <w:rFonts w:ascii="Arial" w:hAnsi="Arial" w:cs="Arial"/>
          <w:sz w:val="24"/>
          <w:szCs w:val="24"/>
          <w:lang w:val="es-ES"/>
        </w:rPr>
        <w:t>dieciséis al veinte</w:t>
      </w:r>
      <w:r w:rsidR="00A05B94" w:rsidRPr="00D916B7">
        <w:rPr>
          <w:rFonts w:ascii="Arial" w:hAnsi="Arial" w:cs="Arial"/>
          <w:sz w:val="24"/>
          <w:szCs w:val="24"/>
          <w:lang w:val="es-ES"/>
        </w:rPr>
        <w:t xml:space="preserve"> de febrero inclusive, y debido a que el presente recurso fue interpuesto el diecisiete de febrero, se tiene que el mismo fue presentado oportunamente.</w:t>
      </w:r>
    </w:p>
    <w:p w14:paraId="2066103E" w14:textId="77777777" w:rsidR="00A05B94" w:rsidRPr="00D916B7" w:rsidRDefault="00A05B94" w:rsidP="00A05B94">
      <w:pPr>
        <w:widowControl w:val="0"/>
        <w:spacing w:after="0"/>
        <w:jc w:val="both"/>
        <w:rPr>
          <w:rFonts w:ascii="Arial" w:hAnsi="Arial" w:cs="Arial"/>
          <w:snapToGrid w:val="0"/>
          <w:sz w:val="24"/>
          <w:szCs w:val="24"/>
          <w:lang w:eastAsia="es-ES"/>
        </w:rPr>
      </w:pPr>
    </w:p>
    <w:p w14:paraId="19DA4674" w14:textId="49AD45B4" w:rsidR="00416BAF" w:rsidRPr="00D916B7" w:rsidRDefault="00416BAF" w:rsidP="00D70478">
      <w:pPr>
        <w:widowControl w:val="0"/>
        <w:tabs>
          <w:tab w:val="left" w:pos="-720"/>
        </w:tabs>
        <w:suppressAutoHyphens/>
        <w:spacing w:after="0"/>
        <w:jc w:val="both"/>
        <w:rPr>
          <w:rFonts w:ascii="Arial" w:hAnsi="Arial" w:cs="Arial"/>
          <w:snapToGrid w:val="0"/>
          <w:sz w:val="24"/>
          <w:szCs w:val="24"/>
          <w:lang w:eastAsia="es-ES"/>
        </w:rPr>
      </w:pPr>
      <w:r w:rsidRPr="00D916B7">
        <w:rPr>
          <w:rFonts w:ascii="Arial" w:hAnsi="Arial" w:cs="Arial"/>
          <w:b/>
          <w:snapToGrid w:val="0"/>
          <w:sz w:val="24"/>
          <w:szCs w:val="24"/>
          <w:lang w:eastAsia="es-ES"/>
        </w:rPr>
        <w:t xml:space="preserve">B) Forma. </w:t>
      </w:r>
      <w:r w:rsidR="00860326" w:rsidRPr="00D916B7">
        <w:rPr>
          <w:rFonts w:ascii="Arial" w:hAnsi="Arial" w:cs="Arial"/>
          <w:snapToGrid w:val="0"/>
          <w:sz w:val="24"/>
          <w:szCs w:val="24"/>
          <w:lang w:eastAsia="es-ES"/>
        </w:rPr>
        <w:t>El escrito</w:t>
      </w:r>
      <w:r w:rsidRPr="00D916B7">
        <w:rPr>
          <w:rFonts w:ascii="Arial" w:hAnsi="Arial" w:cs="Arial"/>
          <w:snapToGrid w:val="0"/>
          <w:sz w:val="24"/>
          <w:szCs w:val="24"/>
          <w:lang w:eastAsia="es-ES"/>
        </w:rPr>
        <w:t xml:space="preserve"> se presentó por escrito, el actor indicó su nombre; domicilio para recibir notificaciones y autorizados para tales efectos; se identificó el acto impugnado, así como la autoridad responsable; menciono los argumentos en que basa su impugnación, así como los agravios que le causa y los preceptos jurídicos presuntamente violados; y finalmente asentó su firma.</w:t>
      </w:r>
    </w:p>
    <w:p w14:paraId="65CD9B11" w14:textId="77777777" w:rsidR="00416BAF" w:rsidRPr="00D916B7" w:rsidRDefault="00416BAF" w:rsidP="00D70478">
      <w:pPr>
        <w:widowControl w:val="0"/>
        <w:tabs>
          <w:tab w:val="left" w:pos="-720"/>
        </w:tabs>
        <w:suppressAutoHyphens/>
        <w:spacing w:after="0"/>
        <w:jc w:val="both"/>
        <w:rPr>
          <w:rFonts w:ascii="Arial" w:hAnsi="Arial" w:cs="Arial"/>
          <w:snapToGrid w:val="0"/>
          <w:sz w:val="24"/>
          <w:szCs w:val="24"/>
          <w:lang w:eastAsia="es-ES"/>
        </w:rPr>
      </w:pPr>
    </w:p>
    <w:p w14:paraId="1BC2CD98" w14:textId="21E65408" w:rsidR="00416BAF" w:rsidRPr="00D916B7" w:rsidRDefault="00416BAF" w:rsidP="00D70478">
      <w:pPr>
        <w:widowControl w:val="0"/>
        <w:tabs>
          <w:tab w:val="left" w:pos="-720"/>
        </w:tabs>
        <w:suppressAutoHyphens/>
        <w:spacing w:after="0"/>
        <w:jc w:val="both"/>
        <w:rPr>
          <w:rFonts w:ascii="Arial" w:hAnsi="Arial" w:cs="Arial"/>
          <w:sz w:val="24"/>
          <w:szCs w:val="24"/>
          <w:highlight w:val="yellow"/>
          <w:lang w:eastAsia="es-MX"/>
        </w:rPr>
      </w:pPr>
      <w:r w:rsidRPr="00D916B7">
        <w:rPr>
          <w:rFonts w:ascii="Arial" w:hAnsi="Arial" w:cs="Arial"/>
          <w:b/>
          <w:snapToGrid w:val="0"/>
          <w:sz w:val="24"/>
          <w:szCs w:val="24"/>
          <w:lang w:eastAsia="es-ES"/>
        </w:rPr>
        <w:t xml:space="preserve">C) Legitimación e interés jurídico. </w:t>
      </w:r>
      <w:r w:rsidRPr="00D916B7">
        <w:rPr>
          <w:rFonts w:ascii="Arial" w:hAnsi="Arial" w:cs="Arial"/>
          <w:snapToGrid w:val="0"/>
          <w:sz w:val="24"/>
          <w:szCs w:val="24"/>
          <w:lang w:eastAsia="es-ES"/>
        </w:rPr>
        <w:t>Se</w:t>
      </w:r>
      <w:r w:rsidRPr="00D916B7">
        <w:rPr>
          <w:rFonts w:ascii="Arial" w:hAnsi="Arial" w:cs="Arial"/>
          <w:b/>
          <w:snapToGrid w:val="0"/>
          <w:sz w:val="24"/>
          <w:szCs w:val="24"/>
          <w:lang w:eastAsia="es-ES"/>
        </w:rPr>
        <w:t xml:space="preserve"> </w:t>
      </w:r>
      <w:r w:rsidRPr="00D916B7">
        <w:rPr>
          <w:rFonts w:ascii="Arial" w:hAnsi="Arial" w:cs="Arial"/>
          <w:sz w:val="24"/>
          <w:szCs w:val="24"/>
          <w:lang w:eastAsia="es-MX"/>
        </w:rPr>
        <w:t xml:space="preserve">satisface </w:t>
      </w:r>
      <w:r w:rsidR="00326AC0" w:rsidRPr="00D916B7">
        <w:rPr>
          <w:rFonts w:ascii="Arial" w:hAnsi="Arial" w:cs="Arial"/>
          <w:sz w:val="24"/>
          <w:szCs w:val="24"/>
          <w:lang w:eastAsia="es-MX"/>
        </w:rPr>
        <w:t>el presupuesto de</w:t>
      </w:r>
      <w:r w:rsidRPr="00D916B7">
        <w:rPr>
          <w:rFonts w:ascii="Arial" w:hAnsi="Arial" w:cs="Arial"/>
          <w:sz w:val="24"/>
          <w:szCs w:val="24"/>
          <w:lang w:eastAsia="es-MX"/>
        </w:rPr>
        <w:t xml:space="preserve"> legitimación en el presente recurso en términos de lo dispuesto por el artículo 577 </w:t>
      </w:r>
      <w:r w:rsidRPr="00D916B7">
        <w:rPr>
          <w:rFonts w:ascii="Arial" w:hAnsi="Arial" w:cs="Arial"/>
          <w:sz w:val="24"/>
          <w:szCs w:val="24"/>
          <w:shd w:val="clear" w:color="auto" w:fill="FFFFFF" w:themeFill="background1"/>
          <w:lang w:eastAsia="es-MX"/>
        </w:rPr>
        <w:t xml:space="preserve">del Código Electoral, </w:t>
      </w:r>
      <w:proofErr w:type="gramStart"/>
      <w:r w:rsidRPr="00D916B7">
        <w:rPr>
          <w:rFonts w:ascii="Arial" w:hAnsi="Arial" w:cs="Arial"/>
          <w:sz w:val="24"/>
          <w:szCs w:val="24"/>
          <w:shd w:val="clear" w:color="auto" w:fill="FFFFFF" w:themeFill="background1"/>
          <w:lang w:eastAsia="es-MX"/>
        </w:rPr>
        <w:t>en razón de</w:t>
      </w:r>
      <w:proofErr w:type="gramEnd"/>
      <w:r w:rsidRPr="00D916B7">
        <w:rPr>
          <w:rFonts w:ascii="Arial" w:hAnsi="Arial" w:cs="Arial"/>
          <w:sz w:val="24"/>
          <w:szCs w:val="24"/>
          <w:shd w:val="clear" w:color="auto" w:fill="FFFFFF" w:themeFill="background1"/>
          <w:lang w:eastAsia="es-MX"/>
        </w:rPr>
        <w:t xml:space="preserve"> ser un partido político </w:t>
      </w:r>
      <w:r w:rsidR="000208A6" w:rsidRPr="00D916B7">
        <w:rPr>
          <w:rFonts w:ascii="Arial" w:hAnsi="Arial" w:cs="Arial"/>
          <w:sz w:val="24"/>
          <w:szCs w:val="24"/>
          <w:shd w:val="clear" w:color="auto" w:fill="FFFFFF" w:themeFill="background1"/>
          <w:lang w:eastAsia="es-MX"/>
        </w:rPr>
        <w:t xml:space="preserve">que se dice </w:t>
      </w:r>
      <w:r w:rsidRPr="00D916B7">
        <w:rPr>
          <w:rFonts w:ascii="Arial" w:hAnsi="Arial" w:cs="Arial"/>
          <w:sz w:val="24"/>
          <w:szCs w:val="24"/>
          <w:shd w:val="clear" w:color="auto" w:fill="FFFFFF" w:themeFill="background1"/>
          <w:lang w:eastAsia="es-MX"/>
        </w:rPr>
        <w:t xml:space="preserve">afectado por un acuerdo dictado por la Secretaría Ejecutiva de este Instituto Electoral. </w:t>
      </w:r>
    </w:p>
    <w:p w14:paraId="1B5601B5" w14:textId="77777777" w:rsidR="00416BAF" w:rsidRPr="00D916B7" w:rsidRDefault="00416BAF" w:rsidP="00D70478">
      <w:pPr>
        <w:widowControl w:val="0"/>
        <w:tabs>
          <w:tab w:val="left" w:pos="-720"/>
        </w:tabs>
        <w:suppressAutoHyphens/>
        <w:spacing w:after="0"/>
        <w:jc w:val="both"/>
        <w:rPr>
          <w:rFonts w:ascii="Arial" w:hAnsi="Arial" w:cs="Arial"/>
          <w:snapToGrid w:val="0"/>
          <w:sz w:val="24"/>
          <w:szCs w:val="24"/>
          <w:highlight w:val="lightGray"/>
          <w:lang w:eastAsia="es-ES"/>
        </w:rPr>
      </w:pPr>
    </w:p>
    <w:p w14:paraId="4D8C4D27" w14:textId="3759865B" w:rsidR="00416BAF" w:rsidRPr="00D916B7" w:rsidRDefault="00416BAF" w:rsidP="00D70478">
      <w:pPr>
        <w:widowControl w:val="0"/>
        <w:tabs>
          <w:tab w:val="left" w:pos="-720"/>
        </w:tabs>
        <w:suppressAutoHyphens/>
        <w:spacing w:after="0"/>
        <w:jc w:val="both"/>
        <w:rPr>
          <w:rFonts w:ascii="Arial" w:hAnsi="Arial" w:cs="Arial"/>
          <w:snapToGrid w:val="0"/>
          <w:sz w:val="24"/>
          <w:szCs w:val="24"/>
          <w:lang w:eastAsia="es-ES"/>
        </w:rPr>
      </w:pPr>
      <w:r w:rsidRPr="00D916B7">
        <w:rPr>
          <w:rFonts w:ascii="Arial" w:hAnsi="Arial" w:cs="Arial"/>
          <w:snapToGrid w:val="0"/>
          <w:sz w:val="24"/>
          <w:szCs w:val="24"/>
          <w:lang w:eastAsia="es-ES"/>
        </w:rPr>
        <w:t>Respecto al interés jurídico para hacer valer el recurso, se considera que se tiene satisfecho el mismo, toda vez que se impugn</w:t>
      </w:r>
      <w:r w:rsidR="00860326" w:rsidRPr="00D916B7">
        <w:rPr>
          <w:rFonts w:ascii="Arial" w:hAnsi="Arial" w:cs="Arial"/>
          <w:snapToGrid w:val="0"/>
          <w:sz w:val="24"/>
          <w:szCs w:val="24"/>
          <w:lang w:eastAsia="es-ES"/>
        </w:rPr>
        <w:t>ó</w:t>
      </w:r>
      <w:r w:rsidRPr="00D916B7">
        <w:rPr>
          <w:rFonts w:ascii="Arial" w:hAnsi="Arial" w:cs="Arial"/>
          <w:snapToGrid w:val="0"/>
          <w:sz w:val="24"/>
          <w:szCs w:val="24"/>
          <w:lang w:eastAsia="es-ES"/>
        </w:rPr>
        <w:t xml:space="preserve"> el acuerdo de trece de febrero dictado dentro del Procedimiento Sancionador Ordinario PSO-Q</w:t>
      </w:r>
      <w:r w:rsidR="00032B52" w:rsidRPr="00D916B7">
        <w:rPr>
          <w:rFonts w:ascii="Arial" w:hAnsi="Arial" w:cs="Arial"/>
          <w:snapToGrid w:val="0"/>
          <w:sz w:val="24"/>
          <w:szCs w:val="24"/>
          <w:lang w:eastAsia="es-ES"/>
        </w:rPr>
        <w:t>UEJA</w:t>
      </w:r>
      <w:r w:rsidRPr="00D916B7">
        <w:rPr>
          <w:rFonts w:ascii="Arial" w:hAnsi="Arial" w:cs="Arial"/>
          <w:snapToGrid w:val="0"/>
          <w:sz w:val="24"/>
          <w:szCs w:val="24"/>
          <w:lang w:eastAsia="es-ES"/>
        </w:rPr>
        <w:t xml:space="preserve">-004/2023 donde el recurrente es denunciante. </w:t>
      </w:r>
    </w:p>
    <w:p w14:paraId="1A78A730" w14:textId="77777777" w:rsidR="00416BAF" w:rsidRPr="00D916B7" w:rsidRDefault="00416BAF" w:rsidP="00D70478">
      <w:pPr>
        <w:widowControl w:val="0"/>
        <w:tabs>
          <w:tab w:val="left" w:pos="-720"/>
        </w:tabs>
        <w:suppressAutoHyphens/>
        <w:spacing w:after="0"/>
        <w:jc w:val="both"/>
        <w:rPr>
          <w:rFonts w:ascii="Arial" w:hAnsi="Arial" w:cs="Arial"/>
          <w:snapToGrid w:val="0"/>
          <w:sz w:val="24"/>
          <w:szCs w:val="24"/>
          <w:lang w:eastAsia="es-ES"/>
        </w:rPr>
      </w:pPr>
    </w:p>
    <w:p w14:paraId="21B2A3FF" w14:textId="77777777" w:rsidR="00416BAF" w:rsidRPr="00D916B7" w:rsidRDefault="00416BAF" w:rsidP="00D70478">
      <w:pPr>
        <w:widowControl w:val="0"/>
        <w:tabs>
          <w:tab w:val="left" w:pos="-720"/>
        </w:tabs>
        <w:suppressAutoHyphens/>
        <w:spacing w:after="0"/>
        <w:jc w:val="both"/>
        <w:rPr>
          <w:rFonts w:ascii="Arial" w:hAnsi="Arial" w:cs="Arial"/>
          <w:snapToGrid w:val="0"/>
          <w:sz w:val="24"/>
          <w:szCs w:val="24"/>
          <w:highlight w:val="lightGray"/>
          <w:lang w:eastAsia="es-ES"/>
        </w:rPr>
      </w:pPr>
      <w:r w:rsidRPr="00D916B7">
        <w:rPr>
          <w:rFonts w:ascii="Arial" w:hAnsi="Arial" w:cs="Arial"/>
          <w:snapToGrid w:val="0"/>
          <w:sz w:val="24"/>
          <w:szCs w:val="24"/>
          <w:lang w:eastAsia="es-ES"/>
        </w:rPr>
        <w:t>Lo cual, en principio, se considera suficiente para que se proceda a su estudio y se tenga por satisfecho el requisito formal, esto, sin perjuicio de que en su oportunidad se juzguen los supuestos agravios, ya que, cuestión distinta es la demostración de la conculcación del derecho que se dice violado, lo que en todo caso corresponde al estudio de fondo del asunto.</w:t>
      </w:r>
    </w:p>
    <w:p w14:paraId="5D4A3305" w14:textId="77777777" w:rsidR="00416BAF" w:rsidRPr="00D916B7" w:rsidRDefault="00416BAF" w:rsidP="00D70478">
      <w:pPr>
        <w:widowControl w:val="0"/>
        <w:tabs>
          <w:tab w:val="left" w:pos="-720"/>
        </w:tabs>
        <w:suppressAutoHyphens/>
        <w:spacing w:after="0"/>
        <w:jc w:val="both"/>
        <w:rPr>
          <w:rFonts w:ascii="Arial" w:hAnsi="Arial" w:cs="Arial"/>
          <w:snapToGrid w:val="0"/>
          <w:sz w:val="24"/>
          <w:szCs w:val="24"/>
          <w:lang w:eastAsia="es-ES"/>
        </w:rPr>
      </w:pPr>
    </w:p>
    <w:p w14:paraId="0294284D" w14:textId="77777777" w:rsidR="00416BAF" w:rsidRPr="00D916B7" w:rsidRDefault="00416BAF" w:rsidP="00D70478">
      <w:pPr>
        <w:widowControl w:val="0"/>
        <w:tabs>
          <w:tab w:val="left" w:pos="-720"/>
        </w:tabs>
        <w:suppressAutoHyphens/>
        <w:spacing w:after="0"/>
        <w:jc w:val="both"/>
        <w:rPr>
          <w:rFonts w:ascii="Arial" w:hAnsi="Arial" w:cs="Arial"/>
          <w:snapToGrid w:val="0"/>
          <w:sz w:val="24"/>
          <w:szCs w:val="24"/>
          <w:lang w:eastAsia="es-ES"/>
        </w:rPr>
      </w:pPr>
      <w:r w:rsidRPr="00D916B7">
        <w:rPr>
          <w:rFonts w:ascii="Arial" w:hAnsi="Arial" w:cs="Arial"/>
          <w:b/>
          <w:snapToGrid w:val="0"/>
          <w:sz w:val="24"/>
          <w:szCs w:val="24"/>
          <w:lang w:eastAsia="es-ES"/>
        </w:rPr>
        <w:t xml:space="preserve">D) Definitividad. </w:t>
      </w:r>
      <w:r w:rsidRPr="00D916B7">
        <w:rPr>
          <w:rFonts w:ascii="Arial" w:hAnsi="Arial" w:cs="Arial"/>
          <w:snapToGrid w:val="0"/>
          <w:sz w:val="24"/>
          <w:szCs w:val="24"/>
          <w:lang w:eastAsia="es-ES"/>
        </w:rPr>
        <w:t xml:space="preserve">El acuerdo impugnado resulta definitivo y firme en tanto que el Código Electoral del Estado no contempla algún medio o recurso que pueda modificarlo. </w:t>
      </w:r>
    </w:p>
    <w:p w14:paraId="08DAD184" w14:textId="77777777" w:rsidR="00416BAF" w:rsidRPr="00D916B7" w:rsidRDefault="00416BAF" w:rsidP="00D70478">
      <w:pPr>
        <w:widowControl w:val="0"/>
        <w:tabs>
          <w:tab w:val="left" w:pos="-720"/>
        </w:tabs>
        <w:suppressAutoHyphens/>
        <w:spacing w:after="0"/>
        <w:jc w:val="both"/>
        <w:rPr>
          <w:rFonts w:ascii="Arial" w:hAnsi="Arial" w:cs="Arial"/>
          <w:snapToGrid w:val="0"/>
          <w:sz w:val="24"/>
          <w:szCs w:val="24"/>
          <w:lang w:eastAsia="es-ES"/>
        </w:rPr>
      </w:pPr>
    </w:p>
    <w:p w14:paraId="4DA469A1" w14:textId="77777777" w:rsidR="00416BAF" w:rsidRPr="00D916B7" w:rsidRDefault="00416BAF" w:rsidP="00D70478">
      <w:pPr>
        <w:widowControl w:val="0"/>
        <w:tabs>
          <w:tab w:val="left" w:pos="-720"/>
        </w:tabs>
        <w:suppressAutoHyphens/>
        <w:spacing w:after="0"/>
        <w:jc w:val="both"/>
        <w:rPr>
          <w:rFonts w:ascii="Arial" w:hAnsi="Arial" w:cs="Arial"/>
          <w:sz w:val="24"/>
          <w:szCs w:val="24"/>
        </w:rPr>
      </w:pPr>
      <w:r w:rsidRPr="00D916B7">
        <w:rPr>
          <w:rFonts w:ascii="Arial" w:hAnsi="Arial" w:cs="Arial"/>
          <w:snapToGrid w:val="0"/>
          <w:sz w:val="24"/>
          <w:szCs w:val="24"/>
          <w:lang w:eastAsia="es-ES"/>
        </w:rPr>
        <w:t xml:space="preserve">En el presente caso, no compareció tercero interesado. </w:t>
      </w:r>
    </w:p>
    <w:p w14:paraId="37752A8F" w14:textId="77777777" w:rsidR="00416BAF" w:rsidRPr="00D916B7" w:rsidRDefault="00416BAF" w:rsidP="00D70478">
      <w:pPr>
        <w:spacing w:after="0"/>
        <w:jc w:val="both"/>
        <w:rPr>
          <w:rFonts w:ascii="Arial" w:hAnsi="Arial" w:cs="Arial"/>
          <w:b/>
          <w:sz w:val="24"/>
          <w:szCs w:val="24"/>
          <w:lang w:eastAsia="es-MX"/>
        </w:rPr>
      </w:pPr>
    </w:p>
    <w:p w14:paraId="24EE7BC7" w14:textId="27F27FCA" w:rsidR="00416BAF" w:rsidRPr="00D916B7" w:rsidRDefault="00416BAF" w:rsidP="00D70478">
      <w:pPr>
        <w:spacing w:after="0"/>
        <w:jc w:val="both"/>
        <w:rPr>
          <w:rFonts w:ascii="Arial" w:hAnsi="Arial" w:cs="Arial"/>
          <w:b/>
          <w:i/>
          <w:sz w:val="24"/>
          <w:szCs w:val="24"/>
        </w:rPr>
      </w:pPr>
      <w:r w:rsidRPr="00D916B7">
        <w:rPr>
          <w:rFonts w:ascii="Arial" w:hAnsi="Arial" w:cs="Arial"/>
          <w:b/>
          <w:sz w:val="24"/>
          <w:szCs w:val="24"/>
          <w:lang w:eastAsia="es-MX"/>
        </w:rPr>
        <w:t xml:space="preserve">IV. </w:t>
      </w:r>
      <w:r w:rsidRPr="00D916B7">
        <w:rPr>
          <w:rFonts w:ascii="Arial" w:hAnsi="Arial" w:cs="Arial"/>
          <w:b/>
          <w:sz w:val="24"/>
          <w:szCs w:val="24"/>
        </w:rPr>
        <w:t>S</w:t>
      </w:r>
      <w:r w:rsidR="00962DAE" w:rsidRPr="00D916B7">
        <w:rPr>
          <w:rFonts w:ascii="Arial" w:hAnsi="Arial" w:cs="Arial"/>
          <w:b/>
          <w:sz w:val="24"/>
          <w:szCs w:val="24"/>
        </w:rPr>
        <w:t>íntesis de agravios, litis y método de estudio</w:t>
      </w:r>
      <w:r w:rsidRPr="00D916B7">
        <w:rPr>
          <w:rFonts w:ascii="Arial" w:hAnsi="Arial" w:cs="Arial"/>
          <w:b/>
          <w:i/>
          <w:sz w:val="24"/>
          <w:szCs w:val="24"/>
        </w:rPr>
        <w:t>.</w:t>
      </w:r>
    </w:p>
    <w:p w14:paraId="6C0F543C" w14:textId="77777777" w:rsidR="00416BAF" w:rsidRPr="00D916B7" w:rsidRDefault="00416BAF" w:rsidP="00D70478">
      <w:pPr>
        <w:spacing w:after="0"/>
        <w:jc w:val="both"/>
        <w:rPr>
          <w:rFonts w:ascii="Arial" w:hAnsi="Arial" w:cs="Arial"/>
          <w:b/>
          <w:i/>
          <w:sz w:val="24"/>
          <w:szCs w:val="24"/>
        </w:rPr>
      </w:pPr>
    </w:p>
    <w:p w14:paraId="231F84EC" w14:textId="6BB5D87E" w:rsidR="00416BAF" w:rsidRPr="00D916B7" w:rsidRDefault="00416BAF" w:rsidP="00D70478">
      <w:pPr>
        <w:spacing w:after="0"/>
        <w:jc w:val="both"/>
        <w:rPr>
          <w:rFonts w:ascii="Arial" w:hAnsi="Arial" w:cs="Arial"/>
          <w:sz w:val="24"/>
          <w:szCs w:val="24"/>
        </w:rPr>
      </w:pPr>
      <w:r w:rsidRPr="00D916B7">
        <w:rPr>
          <w:rFonts w:ascii="Arial" w:hAnsi="Arial" w:cs="Arial"/>
          <w:sz w:val="24"/>
          <w:szCs w:val="24"/>
        </w:rPr>
        <w:t>En virtud de que no existe disposición legal que lo exija, se omite la transcripción de</w:t>
      </w:r>
      <w:r w:rsidR="0018536A" w:rsidRPr="00D916B7">
        <w:rPr>
          <w:rFonts w:ascii="Arial" w:hAnsi="Arial" w:cs="Arial"/>
          <w:sz w:val="24"/>
          <w:szCs w:val="24"/>
        </w:rPr>
        <w:t xml:space="preserve"> </w:t>
      </w:r>
      <w:r w:rsidRPr="00D916B7">
        <w:rPr>
          <w:rFonts w:ascii="Arial" w:hAnsi="Arial" w:cs="Arial"/>
          <w:sz w:val="24"/>
          <w:szCs w:val="24"/>
        </w:rPr>
        <w:t>l</w:t>
      </w:r>
      <w:r w:rsidR="0018536A" w:rsidRPr="00D916B7">
        <w:rPr>
          <w:rFonts w:ascii="Arial" w:hAnsi="Arial" w:cs="Arial"/>
          <w:sz w:val="24"/>
          <w:szCs w:val="24"/>
        </w:rPr>
        <w:t>os</w:t>
      </w:r>
      <w:r w:rsidRPr="00D916B7">
        <w:rPr>
          <w:rFonts w:ascii="Arial" w:hAnsi="Arial" w:cs="Arial"/>
          <w:sz w:val="24"/>
          <w:szCs w:val="24"/>
        </w:rPr>
        <w:t xml:space="preserve"> </w:t>
      </w:r>
      <w:r w:rsidR="0018536A" w:rsidRPr="00D916B7">
        <w:rPr>
          <w:rFonts w:ascii="Arial" w:hAnsi="Arial" w:cs="Arial"/>
          <w:sz w:val="24"/>
          <w:szCs w:val="24"/>
        </w:rPr>
        <w:t>motivos de disenso</w:t>
      </w:r>
      <w:r w:rsidRPr="00D916B7">
        <w:rPr>
          <w:rFonts w:ascii="Arial" w:hAnsi="Arial" w:cs="Arial"/>
          <w:sz w:val="24"/>
          <w:szCs w:val="24"/>
        </w:rPr>
        <w:t xml:space="preserve"> que formula el accionante, señalándose a continuación, y a partir de la lectura integral de su escrito de demanda, en esencia</w:t>
      </w:r>
      <w:r w:rsidR="00775AF4" w:rsidRPr="00D916B7">
        <w:rPr>
          <w:rFonts w:ascii="Arial" w:hAnsi="Arial" w:cs="Arial"/>
          <w:sz w:val="24"/>
          <w:szCs w:val="24"/>
        </w:rPr>
        <w:t>,</w:t>
      </w:r>
      <w:r w:rsidRPr="00D916B7">
        <w:rPr>
          <w:rFonts w:ascii="Arial" w:hAnsi="Arial" w:cs="Arial"/>
          <w:sz w:val="24"/>
          <w:szCs w:val="24"/>
        </w:rPr>
        <w:t xml:space="preserve"> su motivo de </w:t>
      </w:r>
      <w:r w:rsidR="0018536A" w:rsidRPr="00D916B7">
        <w:rPr>
          <w:rFonts w:ascii="Arial" w:hAnsi="Arial" w:cs="Arial"/>
          <w:sz w:val="24"/>
          <w:szCs w:val="24"/>
        </w:rPr>
        <w:t>inconformidad</w:t>
      </w:r>
      <w:r w:rsidRPr="00D916B7">
        <w:rPr>
          <w:rFonts w:ascii="Arial" w:hAnsi="Arial" w:cs="Arial"/>
          <w:sz w:val="24"/>
          <w:szCs w:val="24"/>
        </w:rPr>
        <w:t xml:space="preserve"> radica en que a su decir</w:t>
      </w:r>
      <w:r w:rsidR="0018536A" w:rsidRPr="00D916B7">
        <w:rPr>
          <w:rFonts w:ascii="Arial" w:hAnsi="Arial" w:cs="Arial"/>
          <w:sz w:val="24"/>
          <w:szCs w:val="24"/>
        </w:rPr>
        <w:t>, fue indebidamente desechada de plano la queja interpuesta dado que este Instituto si tiene competencia para conocer del asunto, y que la fundamentación y motivación realizada por el Secretario Ejecutivo e</w:t>
      </w:r>
      <w:r w:rsidR="00775AF4" w:rsidRPr="00D916B7">
        <w:rPr>
          <w:rFonts w:ascii="Arial" w:hAnsi="Arial" w:cs="Arial"/>
          <w:sz w:val="24"/>
          <w:szCs w:val="24"/>
        </w:rPr>
        <w:t>s</w:t>
      </w:r>
      <w:r w:rsidR="0018536A" w:rsidRPr="00D916B7">
        <w:rPr>
          <w:rFonts w:ascii="Arial" w:hAnsi="Arial" w:cs="Arial"/>
          <w:sz w:val="24"/>
          <w:szCs w:val="24"/>
        </w:rPr>
        <w:t xml:space="preserve"> errónea.</w:t>
      </w:r>
    </w:p>
    <w:p w14:paraId="3A3F4A64" w14:textId="2915B878" w:rsidR="00BF5F2F" w:rsidRPr="00D916B7" w:rsidRDefault="00BF5F2F" w:rsidP="00D70478">
      <w:pPr>
        <w:spacing w:after="0"/>
        <w:jc w:val="both"/>
        <w:rPr>
          <w:rFonts w:ascii="Arial" w:hAnsi="Arial" w:cs="Arial"/>
          <w:sz w:val="24"/>
          <w:szCs w:val="24"/>
        </w:rPr>
      </w:pPr>
    </w:p>
    <w:p w14:paraId="41529AC7" w14:textId="21A3BF48" w:rsidR="00BF5F2F" w:rsidRPr="00D916B7" w:rsidRDefault="00BF5F2F" w:rsidP="00D70478">
      <w:pPr>
        <w:spacing w:after="0"/>
        <w:jc w:val="both"/>
        <w:rPr>
          <w:rFonts w:ascii="Arial" w:hAnsi="Arial" w:cs="Arial"/>
          <w:sz w:val="24"/>
          <w:szCs w:val="24"/>
        </w:rPr>
      </w:pPr>
      <w:r w:rsidRPr="00D916B7">
        <w:rPr>
          <w:rFonts w:ascii="Arial" w:hAnsi="Arial" w:cs="Arial"/>
          <w:sz w:val="24"/>
          <w:szCs w:val="24"/>
        </w:rPr>
        <w:t>Lo anterior se sustenta con la tesis jurisprudencial que a continuación se transcribe:</w:t>
      </w:r>
    </w:p>
    <w:p w14:paraId="21EDF41E" w14:textId="40BAD6E6" w:rsidR="00BF5F2F" w:rsidRPr="00D916B7" w:rsidRDefault="00BF5F2F" w:rsidP="00D70478">
      <w:pPr>
        <w:spacing w:after="0"/>
        <w:jc w:val="both"/>
        <w:rPr>
          <w:rFonts w:ascii="Arial" w:hAnsi="Arial" w:cs="Arial"/>
          <w:sz w:val="24"/>
          <w:szCs w:val="24"/>
        </w:rPr>
      </w:pPr>
    </w:p>
    <w:p w14:paraId="12F27B24" w14:textId="77777777" w:rsidR="00BF5F2F" w:rsidRPr="00D916B7" w:rsidRDefault="00BF5F2F" w:rsidP="00BF5F2F">
      <w:pPr>
        <w:spacing w:after="0"/>
        <w:ind w:left="567" w:right="616"/>
        <w:jc w:val="both"/>
        <w:rPr>
          <w:rFonts w:ascii="Arial" w:hAnsi="Arial" w:cs="Arial"/>
          <w:i/>
          <w:iCs/>
          <w:sz w:val="24"/>
          <w:szCs w:val="24"/>
        </w:rPr>
      </w:pPr>
      <w:r w:rsidRPr="00D916B7">
        <w:rPr>
          <w:rFonts w:ascii="Arial" w:hAnsi="Arial" w:cs="Arial"/>
          <w:i/>
          <w:iCs/>
          <w:sz w:val="24"/>
          <w:szCs w:val="24"/>
        </w:rPr>
        <w:t>Suprema Corte de Justicia de la Nación</w:t>
      </w:r>
    </w:p>
    <w:p w14:paraId="7B6AC694" w14:textId="77777777" w:rsidR="00BF5F2F" w:rsidRPr="00D916B7" w:rsidRDefault="00BF5F2F" w:rsidP="00BF5F2F">
      <w:pPr>
        <w:spacing w:after="0"/>
        <w:ind w:left="567" w:right="616"/>
        <w:jc w:val="both"/>
        <w:rPr>
          <w:rFonts w:ascii="Arial" w:hAnsi="Arial" w:cs="Arial"/>
          <w:i/>
          <w:iCs/>
          <w:sz w:val="24"/>
          <w:szCs w:val="24"/>
        </w:rPr>
      </w:pPr>
    </w:p>
    <w:p w14:paraId="4A5105F0" w14:textId="77777777" w:rsidR="00BF5F2F" w:rsidRPr="00D916B7" w:rsidRDefault="00BF5F2F" w:rsidP="00BF5F2F">
      <w:pPr>
        <w:spacing w:after="0"/>
        <w:ind w:left="567" w:right="616"/>
        <w:jc w:val="both"/>
        <w:rPr>
          <w:rFonts w:ascii="Arial" w:hAnsi="Arial" w:cs="Arial"/>
          <w:i/>
          <w:iCs/>
          <w:sz w:val="24"/>
          <w:szCs w:val="24"/>
        </w:rPr>
      </w:pPr>
      <w:r w:rsidRPr="00D916B7">
        <w:rPr>
          <w:rFonts w:ascii="Arial" w:hAnsi="Arial" w:cs="Arial"/>
          <w:i/>
          <w:iCs/>
          <w:sz w:val="24"/>
          <w:szCs w:val="24"/>
        </w:rPr>
        <w:t>Registro digital: 214290</w:t>
      </w:r>
    </w:p>
    <w:p w14:paraId="6AE798B3" w14:textId="77777777" w:rsidR="00BF5F2F" w:rsidRPr="00D916B7" w:rsidRDefault="00BF5F2F" w:rsidP="00BF5F2F">
      <w:pPr>
        <w:spacing w:after="0"/>
        <w:ind w:left="567" w:right="616"/>
        <w:jc w:val="both"/>
        <w:rPr>
          <w:rFonts w:ascii="Arial" w:hAnsi="Arial" w:cs="Arial"/>
          <w:i/>
          <w:iCs/>
          <w:sz w:val="24"/>
          <w:szCs w:val="24"/>
        </w:rPr>
      </w:pPr>
    </w:p>
    <w:p w14:paraId="51D9FD4B" w14:textId="77777777" w:rsidR="00BF5F2F" w:rsidRPr="00D916B7" w:rsidRDefault="00BF5F2F" w:rsidP="00BF5F2F">
      <w:pPr>
        <w:spacing w:after="0"/>
        <w:ind w:left="567" w:right="616"/>
        <w:jc w:val="both"/>
        <w:rPr>
          <w:rFonts w:ascii="Arial" w:hAnsi="Arial" w:cs="Arial"/>
          <w:i/>
          <w:iCs/>
          <w:sz w:val="24"/>
          <w:szCs w:val="24"/>
        </w:rPr>
      </w:pPr>
      <w:r w:rsidRPr="00D916B7">
        <w:rPr>
          <w:rFonts w:ascii="Arial" w:hAnsi="Arial" w:cs="Arial"/>
          <w:i/>
          <w:iCs/>
          <w:sz w:val="24"/>
          <w:szCs w:val="24"/>
        </w:rPr>
        <w:t>AGRAVIOS. LA FALTA DE TRANSCRIPCION DE LOS MISMOS EN LA SENTENCIA, NO CONSTITUYE VIOLACION DE GARANTIAS.</w:t>
      </w:r>
    </w:p>
    <w:p w14:paraId="32D7003C" w14:textId="77777777" w:rsidR="00BF5F2F" w:rsidRPr="00D916B7" w:rsidRDefault="00BF5F2F" w:rsidP="00BF5F2F">
      <w:pPr>
        <w:spacing w:after="0"/>
        <w:ind w:left="567" w:right="616"/>
        <w:jc w:val="both"/>
        <w:rPr>
          <w:rFonts w:ascii="Arial" w:hAnsi="Arial" w:cs="Arial"/>
          <w:i/>
          <w:iCs/>
          <w:sz w:val="24"/>
          <w:szCs w:val="24"/>
        </w:rPr>
      </w:pPr>
    </w:p>
    <w:p w14:paraId="7D30DD67" w14:textId="77777777" w:rsidR="00BF5F2F" w:rsidRPr="00D916B7" w:rsidRDefault="00BF5F2F" w:rsidP="00BF5F2F">
      <w:pPr>
        <w:spacing w:after="0"/>
        <w:ind w:left="567" w:right="616"/>
        <w:jc w:val="both"/>
        <w:rPr>
          <w:rFonts w:ascii="Arial" w:hAnsi="Arial" w:cs="Arial"/>
          <w:i/>
          <w:iCs/>
          <w:sz w:val="24"/>
          <w:szCs w:val="24"/>
        </w:rPr>
      </w:pPr>
      <w:r w:rsidRPr="00D916B7">
        <w:rPr>
          <w:rFonts w:ascii="Arial" w:hAnsi="Arial" w:cs="Arial"/>
          <w:i/>
          <w:iCs/>
          <w:sz w:val="24"/>
          <w:szCs w:val="24"/>
        </w:rPr>
        <w:t>El hecho de que la sala responsable no haya transcrito los agravios que el quejoso hizo valer en apelación, ello no implica en manera alguna que tal circunstancia sea violatoria de garantías, ya que no existe disposición alguna en el Código de Procedimientos Civiles para el Distrito Federal que obligue a la sala a transcribir o sintetizar los agravios expuestos por la parte apelante, y el artículo 81 de éste solamente exige que las sentencias sean claras, precisas y congruentes con las demandas, contestaciones, y con las demás pretensiones deducidas en el juicio, condenando o absolviendo al demandado, así como decidiendo todos los puntos litigiosos sujetos a debate.</w:t>
      </w:r>
    </w:p>
    <w:p w14:paraId="2687D14B" w14:textId="77777777" w:rsidR="00416BAF" w:rsidRPr="00D916B7" w:rsidRDefault="00416BAF" w:rsidP="00D70478">
      <w:pPr>
        <w:spacing w:after="0"/>
        <w:jc w:val="both"/>
        <w:rPr>
          <w:rFonts w:ascii="Arial" w:hAnsi="Arial" w:cs="Arial"/>
          <w:bCs/>
          <w:sz w:val="24"/>
          <w:szCs w:val="24"/>
        </w:rPr>
      </w:pPr>
    </w:p>
    <w:p w14:paraId="4374E092" w14:textId="2FD28346" w:rsidR="00416BAF" w:rsidRPr="00D916B7" w:rsidRDefault="00416BAF" w:rsidP="00D70478">
      <w:pPr>
        <w:spacing w:after="0"/>
        <w:jc w:val="both"/>
        <w:rPr>
          <w:rFonts w:ascii="Arial" w:hAnsi="Arial" w:cs="Arial"/>
          <w:bCs/>
          <w:sz w:val="24"/>
          <w:szCs w:val="24"/>
        </w:rPr>
      </w:pPr>
      <w:r w:rsidRPr="00D916B7">
        <w:rPr>
          <w:rFonts w:ascii="Arial" w:hAnsi="Arial" w:cs="Arial"/>
          <w:sz w:val="24"/>
          <w:szCs w:val="24"/>
        </w:rPr>
        <w:t xml:space="preserve">La </w:t>
      </w:r>
      <w:r w:rsidRPr="00D916B7">
        <w:rPr>
          <w:rFonts w:ascii="Arial" w:hAnsi="Arial" w:cs="Arial"/>
          <w:b/>
          <w:sz w:val="24"/>
          <w:szCs w:val="24"/>
        </w:rPr>
        <w:t>litis</w:t>
      </w:r>
      <w:r w:rsidRPr="00D916B7">
        <w:rPr>
          <w:rFonts w:ascii="Arial" w:hAnsi="Arial" w:cs="Arial"/>
          <w:sz w:val="24"/>
          <w:szCs w:val="24"/>
        </w:rPr>
        <w:t xml:space="preserve"> en el presente asunto se constriñe a determinar si el</w:t>
      </w:r>
      <w:r w:rsidR="00775AF4" w:rsidRPr="00D916B7">
        <w:rPr>
          <w:rFonts w:ascii="Arial" w:hAnsi="Arial" w:cs="Arial"/>
          <w:sz w:val="24"/>
          <w:szCs w:val="24"/>
        </w:rPr>
        <w:t xml:space="preserve"> </w:t>
      </w:r>
      <w:proofErr w:type="spellStart"/>
      <w:r w:rsidR="00BF5F2F" w:rsidRPr="00D916B7">
        <w:rPr>
          <w:rFonts w:ascii="Arial" w:hAnsi="Arial" w:cs="Arial"/>
          <w:sz w:val="24"/>
          <w:szCs w:val="24"/>
        </w:rPr>
        <w:t>desechamiento</w:t>
      </w:r>
      <w:proofErr w:type="spellEnd"/>
      <w:r w:rsidR="00BF5F2F" w:rsidRPr="00D916B7">
        <w:rPr>
          <w:rFonts w:ascii="Arial" w:hAnsi="Arial" w:cs="Arial"/>
          <w:sz w:val="24"/>
          <w:szCs w:val="24"/>
        </w:rPr>
        <w:t xml:space="preserve"> realizado se encuentra apegado a derecho.</w:t>
      </w:r>
    </w:p>
    <w:p w14:paraId="75D80EF6" w14:textId="77777777" w:rsidR="00416BAF" w:rsidRPr="00D916B7" w:rsidRDefault="00416BAF" w:rsidP="00D70478">
      <w:pPr>
        <w:spacing w:after="0"/>
        <w:jc w:val="both"/>
        <w:rPr>
          <w:rFonts w:ascii="Arial" w:hAnsi="Arial" w:cs="Arial"/>
          <w:sz w:val="24"/>
          <w:szCs w:val="24"/>
        </w:rPr>
      </w:pPr>
    </w:p>
    <w:p w14:paraId="7CC2EFF8" w14:textId="2E628F66" w:rsidR="00416BAF" w:rsidRPr="00D916B7" w:rsidRDefault="00416BAF" w:rsidP="00D70478">
      <w:pPr>
        <w:spacing w:after="0"/>
        <w:jc w:val="both"/>
        <w:rPr>
          <w:rFonts w:ascii="Arial" w:hAnsi="Arial" w:cs="Arial"/>
          <w:sz w:val="24"/>
          <w:szCs w:val="24"/>
        </w:rPr>
      </w:pPr>
      <w:r w:rsidRPr="00D916B7">
        <w:rPr>
          <w:rFonts w:ascii="Arial" w:hAnsi="Arial" w:cs="Arial"/>
          <w:sz w:val="24"/>
          <w:szCs w:val="24"/>
        </w:rPr>
        <w:lastRenderedPageBreak/>
        <w:t xml:space="preserve">El </w:t>
      </w:r>
      <w:r w:rsidRPr="00D916B7">
        <w:rPr>
          <w:rFonts w:ascii="Arial" w:hAnsi="Arial" w:cs="Arial"/>
          <w:b/>
          <w:sz w:val="24"/>
          <w:szCs w:val="24"/>
        </w:rPr>
        <w:t>método</w:t>
      </w:r>
      <w:r w:rsidRPr="00D916B7">
        <w:rPr>
          <w:rFonts w:ascii="Arial" w:hAnsi="Arial" w:cs="Arial"/>
          <w:sz w:val="24"/>
          <w:szCs w:val="24"/>
        </w:rPr>
        <w:t xml:space="preserve"> que se abordará para dilucidar la litis en el presente asunto consistirá en examinar l</w:t>
      </w:r>
      <w:r w:rsidR="00F12CF7" w:rsidRPr="00D916B7">
        <w:rPr>
          <w:rFonts w:ascii="Arial" w:hAnsi="Arial" w:cs="Arial"/>
          <w:sz w:val="24"/>
          <w:szCs w:val="24"/>
        </w:rPr>
        <w:t>os</w:t>
      </w:r>
      <w:r w:rsidRPr="00D916B7">
        <w:rPr>
          <w:rFonts w:ascii="Arial" w:hAnsi="Arial" w:cs="Arial"/>
          <w:sz w:val="24"/>
          <w:szCs w:val="24"/>
        </w:rPr>
        <w:t xml:space="preserve"> agravio</w:t>
      </w:r>
      <w:r w:rsidR="00F12CF7" w:rsidRPr="00D916B7">
        <w:rPr>
          <w:rFonts w:ascii="Arial" w:hAnsi="Arial" w:cs="Arial"/>
          <w:sz w:val="24"/>
          <w:szCs w:val="24"/>
        </w:rPr>
        <w:t>s</w:t>
      </w:r>
      <w:r w:rsidRPr="00D916B7">
        <w:rPr>
          <w:rFonts w:ascii="Arial" w:hAnsi="Arial" w:cs="Arial"/>
          <w:sz w:val="24"/>
          <w:szCs w:val="24"/>
        </w:rPr>
        <w:t xml:space="preserve"> esgrimido</w:t>
      </w:r>
      <w:r w:rsidR="00F12CF7" w:rsidRPr="00D916B7">
        <w:rPr>
          <w:rFonts w:ascii="Arial" w:hAnsi="Arial" w:cs="Arial"/>
          <w:sz w:val="24"/>
          <w:szCs w:val="24"/>
        </w:rPr>
        <w:t>s</w:t>
      </w:r>
      <w:r w:rsidRPr="00D916B7">
        <w:rPr>
          <w:rFonts w:ascii="Arial" w:hAnsi="Arial" w:cs="Arial"/>
          <w:sz w:val="24"/>
          <w:szCs w:val="24"/>
        </w:rPr>
        <w:t>; el examen se hará relacionando l</w:t>
      </w:r>
      <w:r w:rsidR="00F12CF7" w:rsidRPr="00D916B7">
        <w:rPr>
          <w:rFonts w:ascii="Arial" w:hAnsi="Arial" w:cs="Arial"/>
          <w:sz w:val="24"/>
          <w:szCs w:val="24"/>
        </w:rPr>
        <w:t>os</w:t>
      </w:r>
      <w:r w:rsidRPr="00D916B7">
        <w:rPr>
          <w:rFonts w:ascii="Arial" w:hAnsi="Arial" w:cs="Arial"/>
          <w:sz w:val="24"/>
          <w:szCs w:val="24"/>
        </w:rPr>
        <w:t xml:space="preserve"> mismo</w:t>
      </w:r>
      <w:r w:rsidR="00F12CF7" w:rsidRPr="00D916B7">
        <w:rPr>
          <w:rFonts w:ascii="Arial" w:hAnsi="Arial" w:cs="Arial"/>
          <w:sz w:val="24"/>
          <w:szCs w:val="24"/>
        </w:rPr>
        <w:t>s</w:t>
      </w:r>
      <w:r w:rsidRPr="00D916B7">
        <w:rPr>
          <w:rFonts w:ascii="Arial" w:hAnsi="Arial" w:cs="Arial"/>
          <w:sz w:val="24"/>
          <w:szCs w:val="24"/>
        </w:rPr>
        <w:t xml:space="preserve"> con los hechos y puntos controvertidos y los que fundan la presente resolución.</w:t>
      </w:r>
    </w:p>
    <w:p w14:paraId="5D7CFFFE" w14:textId="77777777" w:rsidR="00416BAF" w:rsidRPr="00D916B7" w:rsidRDefault="00416BAF" w:rsidP="00D70478">
      <w:pPr>
        <w:spacing w:after="0"/>
        <w:jc w:val="both"/>
        <w:rPr>
          <w:rFonts w:ascii="Arial" w:hAnsi="Arial" w:cs="Arial"/>
          <w:sz w:val="24"/>
          <w:szCs w:val="24"/>
        </w:rPr>
      </w:pPr>
    </w:p>
    <w:p w14:paraId="1F7599B4" w14:textId="73AFA6F6" w:rsidR="00416BAF" w:rsidRPr="00D916B7" w:rsidRDefault="00416BAF" w:rsidP="00D70478">
      <w:pPr>
        <w:spacing w:after="0"/>
        <w:jc w:val="both"/>
        <w:rPr>
          <w:rFonts w:ascii="Arial" w:hAnsi="Arial" w:cs="Arial"/>
          <w:sz w:val="24"/>
          <w:szCs w:val="24"/>
        </w:rPr>
      </w:pPr>
      <w:r w:rsidRPr="00D916B7">
        <w:rPr>
          <w:rFonts w:ascii="Arial" w:hAnsi="Arial" w:cs="Arial"/>
          <w:sz w:val="24"/>
          <w:szCs w:val="24"/>
        </w:rPr>
        <w:t>Para tal efecto, en el siguiente considerando se examinará</w:t>
      </w:r>
      <w:r w:rsidR="00F12CF7" w:rsidRPr="00D916B7">
        <w:rPr>
          <w:rFonts w:ascii="Arial" w:hAnsi="Arial" w:cs="Arial"/>
          <w:sz w:val="24"/>
          <w:szCs w:val="24"/>
        </w:rPr>
        <w:t>n</w:t>
      </w:r>
      <w:r w:rsidRPr="00D916B7">
        <w:rPr>
          <w:rFonts w:ascii="Arial" w:hAnsi="Arial" w:cs="Arial"/>
          <w:sz w:val="24"/>
          <w:szCs w:val="24"/>
        </w:rPr>
        <w:t xml:space="preserve"> l</w:t>
      </w:r>
      <w:r w:rsidR="00F12CF7" w:rsidRPr="00D916B7">
        <w:rPr>
          <w:rFonts w:ascii="Arial" w:hAnsi="Arial" w:cs="Arial"/>
          <w:sz w:val="24"/>
          <w:szCs w:val="24"/>
        </w:rPr>
        <w:t>os</w:t>
      </w:r>
      <w:r w:rsidRPr="00D916B7">
        <w:rPr>
          <w:rFonts w:ascii="Arial" w:hAnsi="Arial" w:cs="Arial"/>
          <w:sz w:val="24"/>
          <w:szCs w:val="24"/>
        </w:rPr>
        <w:t xml:space="preserve"> agravio</w:t>
      </w:r>
      <w:r w:rsidR="00F12CF7" w:rsidRPr="00D916B7">
        <w:rPr>
          <w:rFonts w:ascii="Arial" w:hAnsi="Arial" w:cs="Arial"/>
          <w:sz w:val="24"/>
          <w:szCs w:val="24"/>
        </w:rPr>
        <w:t>s</w:t>
      </w:r>
      <w:r w:rsidRPr="00D916B7">
        <w:rPr>
          <w:rFonts w:ascii="Arial" w:hAnsi="Arial" w:cs="Arial"/>
          <w:sz w:val="24"/>
          <w:szCs w:val="24"/>
        </w:rPr>
        <w:t xml:space="preserve">, cabe precisar que en el caso en que se </w:t>
      </w:r>
      <w:r w:rsidR="00775AF4" w:rsidRPr="00D916B7">
        <w:rPr>
          <w:rFonts w:ascii="Arial" w:hAnsi="Arial" w:cs="Arial"/>
          <w:sz w:val="24"/>
          <w:szCs w:val="24"/>
        </w:rPr>
        <w:t xml:space="preserve">haya </w:t>
      </w:r>
      <w:r w:rsidRPr="00D916B7">
        <w:rPr>
          <w:rFonts w:ascii="Arial" w:hAnsi="Arial" w:cs="Arial"/>
          <w:sz w:val="24"/>
          <w:szCs w:val="24"/>
        </w:rPr>
        <w:t>omit</w:t>
      </w:r>
      <w:r w:rsidR="00F5782B" w:rsidRPr="00D916B7">
        <w:rPr>
          <w:rFonts w:ascii="Arial" w:hAnsi="Arial" w:cs="Arial"/>
          <w:sz w:val="24"/>
          <w:szCs w:val="24"/>
        </w:rPr>
        <w:t>i</w:t>
      </w:r>
      <w:r w:rsidR="00775AF4" w:rsidRPr="00D916B7">
        <w:rPr>
          <w:rFonts w:ascii="Arial" w:hAnsi="Arial" w:cs="Arial"/>
          <w:sz w:val="24"/>
          <w:szCs w:val="24"/>
        </w:rPr>
        <w:t>do</w:t>
      </w:r>
      <w:r w:rsidRPr="00D916B7">
        <w:rPr>
          <w:rFonts w:ascii="Arial" w:hAnsi="Arial" w:cs="Arial"/>
          <w:sz w:val="24"/>
          <w:szCs w:val="24"/>
        </w:rPr>
        <w:t xml:space="preserve"> señalar los preceptos jurídicos presuntamente violados o los cite de manera equivocada, este Consejo General, en ejercicio de la facultad prevista en el artículo 544, del Código Electoral local, tomará en cuenta los que debieron ser invocados o los aplicables al caso concreto.</w:t>
      </w:r>
    </w:p>
    <w:p w14:paraId="7D964D7A" w14:textId="77777777" w:rsidR="00416BAF" w:rsidRPr="00D916B7" w:rsidRDefault="00416BAF" w:rsidP="00D70478">
      <w:pPr>
        <w:spacing w:after="0"/>
        <w:jc w:val="both"/>
        <w:rPr>
          <w:rFonts w:ascii="Arial" w:hAnsi="Arial" w:cs="Arial"/>
          <w:sz w:val="24"/>
          <w:szCs w:val="24"/>
        </w:rPr>
      </w:pPr>
    </w:p>
    <w:p w14:paraId="0A273F47" w14:textId="77777777" w:rsidR="00416BAF" w:rsidRPr="00D916B7" w:rsidRDefault="00416BAF" w:rsidP="00D70478">
      <w:pPr>
        <w:spacing w:after="0"/>
        <w:jc w:val="both"/>
        <w:rPr>
          <w:rFonts w:ascii="Arial" w:hAnsi="Arial" w:cs="Arial"/>
          <w:sz w:val="24"/>
          <w:szCs w:val="24"/>
        </w:rPr>
      </w:pPr>
      <w:r w:rsidRPr="00D916B7">
        <w:rPr>
          <w:rFonts w:ascii="Arial" w:hAnsi="Arial" w:cs="Arial"/>
          <w:sz w:val="24"/>
          <w:szCs w:val="24"/>
        </w:rPr>
        <w:t>Sirve de apoyo a las relatadas consideraciones sendas tesis de jurisprudencia sustentadas por la Sala Superior</w:t>
      </w:r>
      <w:r w:rsidRPr="00D916B7">
        <w:rPr>
          <w:rStyle w:val="Refdenotaalpie"/>
          <w:rFonts w:ascii="Arial" w:hAnsi="Arial" w:cs="Arial"/>
          <w:sz w:val="24"/>
          <w:szCs w:val="24"/>
        </w:rPr>
        <w:footnoteReference w:id="4"/>
      </w:r>
      <w:r w:rsidRPr="00D916B7">
        <w:rPr>
          <w:rFonts w:ascii="Arial" w:hAnsi="Arial" w:cs="Arial"/>
          <w:sz w:val="24"/>
          <w:szCs w:val="24"/>
        </w:rPr>
        <w:t xml:space="preserve"> del Tribunal Electoral del Poder Judicial de la Federación, cuyos rubros son del siguiente tenor literal: “AGRAVIOS. PARA TENERLOS POR DEBIDAMENTE CONFIGURADOS ES SUFICIENTE CON EXPRESAR LA CAUSA DE PEDIR”; “AGRAVIOS. PUEDEN ENCONTRARSE EN CUALQUIER PARTE DEL ESCRITO INCIAL”; y “AGRAVIOS, SU ESTUDIO EN CONJUNTO O SEPARADO NO CAUSA LESIÓN</w:t>
      </w:r>
      <w:r w:rsidRPr="00D916B7">
        <w:rPr>
          <w:rStyle w:val="Refdenotaalpie"/>
          <w:rFonts w:ascii="Arial" w:hAnsi="Arial" w:cs="Arial"/>
          <w:sz w:val="24"/>
          <w:szCs w:val="24"/>
        </w:rPr>
        <w:footnoteReference w:id="5"/>
      </w:r>
      <w:r w:rsidRPr="00D916B7">
        <w:rPr>
          <w:rFonts w:ascii="Arial" w:hAnsi="Arial" w:cs="Arial"/>
          <w:sz w:val="24"/>
          <w:szCs w:val="24"/>
        </w:rPr>
        <w:t>”.</w:t>
      </w:r>
    </w:p>
    <w:p w14:paraId="4BCB1A4D" w14:textId="77777777" w:rsidR="00920025" w:rsidRPr="00D916B7" w:rsidRDefault="00920025" w:rsidP="00D70478">
      <w:pPr>
        <w:spacing w:after="0"/>
        <w:jc w:val="both"/>
        <w:rPr>
          <w:rFonts w:ascii="Arial" w:hAnsi="Arial" w:cs="Arial"/>
          <w:sz w:val="24"/>
          <w:szCs w:val="24"/>
        </w:rPr>
      </w:pPr>
    </w:p>
    <w:p w14:paraId="5EC3643C" w14:textId="04185230" w:rsidR="00416BAF" w:rsidRPr="00D916B7" w:rsidRDefault="00416BAF" w:rsidP="00D70478">
      <w:pPr>
        <w:pStyle w:val="NormalWeb"/>
        <w:spacing w:before="0" w:after="0" w:line="276" w:lineRule="auto"/>
        <w:jc w:val="both"/>
        <w:rPr>
          <w:rFonts w:ascii="Arial" w:hAnsi="Arial" w:cs="Arial"/>
          <w:b/>
          <w:bCs/>
        </w:rPr>
      </w:pPr>
      <w:r w:rsidRPr="00D916B7">
        <w:rPr>
          <w:rFonts w:ascii="Arial" w:hAnsi="Arial" w:cs="Arial"/>
          <w:b/>
        </w:rPr>
        <w:t xml:space="preserve">V. </w:t>
      </w:r>
      <w:r w:rsidRPr="00D916B7">
        <w:rPr>
          <w:rFonts w:ascii="Arial" w:hAnsi="Arial" w:cs="Arial"/>
          <w:b/>
          <w:bCs/>
        </w:rPr>
        <w:t>E</w:t>
      </w:r>
      <w:r w:rsidR="00962DAE" w:rsidRPr="00D916B7">
        <w:rPr>
          <w:rFonts w:ascii="Arial" w:hAnsi="Arial" w:cs="Arial"/>
          <w:b/>
          <w:bCs/>
        </w:rPr>
        <w:t>studio de fondo</w:t>
      </w:r>
      <w:r w:rsidRPr="00D916B7">
        <w:rPr>
          <w:rFonts w:ascii="Arial" w:hAnsi="Arial" w:cs="Arial"/>
          <w:b/>
          <w:bCs/>
        </w:rPr>
        <w:t xml:space="preserve">. </w:t>
      </w:r>
    </w:p>
    <w:p w14:paraId="08E93707" w14:textId="77777777" w:rsidR="00416BAF" w:rsidRPr="00D916B7" w:rsidRDefault="00416BAF" w:rsidP="00D70478">
      <w:pPr>
        <w:pStyle w:val="NormalWeb"/>
        <w:spacing w:before="0" w:after="0" w:line="276" w:lineRule="auto"/>
        <w:jc w:val="both"/>
        <w:rPr>
          <w:rFonts w:ascii="Arial" w:hAnsi="Arial" w:cs="Arial"/>
          <w:b/>
          <w:bCs/>
        </w:rPr>
      </w:pPr>
    </w:p>
    <w:p w14:paraId="75F0CA3A" w14:textId="008433BE" w:rsidR="00416BAF" w:rsidRPr="00D916B7" w:rsidRDefault="00416BAF" w:rsidP="00D70478">
      <w:pPr>
        <w:pStyle w:val="NormalWeb"/>
        <w:spacing w:before="0" w:after="0" w:line="276" w:lineRule="auto"/>
        <w:jc w:val="both"/>
        <w:rPr>
          <w:rFonts w:ascii="Arial" w:hAnsi="Arial" w:cs="Arial"/>
          <w:bCs/>
        </w:rPr>
      </w:pPr>
      <w:r w:rsidRPr="00D916B7">
        <w:rPr>
          <w:rFonts w:ascii="Arial" w:hAnsi="Arial" w:cs="Arial"/>
          <w:bCs/>
        </w:rPr>
        <w:t>En este sentido, l</w:t>
      </w:r>
      <w:r w:rsidR="006A0D2C" w:rsidRPr="00D916B7">
        <w:rPr>
          <w:rFonts w:ascii="Arial" w:hAnsi="Arial" w:cs="Arial"/>
          <w:bCs/>
        </w:rPr>
        <w:t>os</w:t>
      </w:r>
      <w:r w:rsidRPr="00D916B7">
        <w:rPr>
          <w:rFonts w:ascii="Arial" w:hAnsi="Arial" w:cs="Arial"/>
          <w:bCs/>
        </w:rPr>
        <w:t xml:space="preserve"> agravio</w:t>
      </w:r>
      <w:r w:rsidR="006A0D2C" w:rsidRPr="00D916B7">
        <w:rPr>
          <w:rFonts w:ascii="Arial" w:hAnsi="Arial" w:cs="Arial"/>
          <w:bCs/>
        </w:rPr>
        <w:t>s</w:t>
      </w:r>
      <w:r w:rsidRPr="00D916B7">
        <w:rPr>
          <w:rFonts w:ascii="Arial" w:hAnsi="Arial" w:cs="Arial"/>
          <w:bCs/>
        </w:rPr>
        <w:t xml:space="preserve"> deviene</w:t>
      </w:r>
      <w:r w:rsidR="006A0D2C" w:rsidRPr="00D916B7">
        <w:rPr>
          <w:rFonts w:ascii="Arial" w:hAnsi="Arial" w:cs="Arial"/>
          <w:bCs/>
        </w:rPr>
        <w:t>n</w:t>
      </w:r>
      <w:r w:rsidRPr="00D916B7">
        <w:rPr>
          <w:rFonts w:ascii="Arial" w:hAnsi="Arial" w:cs="Arial"/>
          <w:bCs/>
        </w:rPr>
        <w:t xml:space="preserve"> </w:t>
      </w:r>
      <w:r w:rsidRPr="00D916B7">
        <w:rPr>
          <w:rFonts w:ascii="Arial" w:hAnsi="Arial" w:cs="Arial"/>
          <w:b/>
          <w:bCs/>
        </w:rPr>
        <w:t>infundado</w:t>
      </w:r>
      <w:r w:rsidR="00920025" w:rsidRPr="00D916B7">
        <w:rPr>
          <w:rFonts w:ascii="Arial" w:hAnsi="Arial" w:cs="Arial"/>
          <w:b/>
          <w:bCs/>
        </w:rPr>
        <w:t>s</w:t>
      </w:r>
      <w:r w:rsidRPr="00D916B7">
        <w:rPr>
          <w:rFonts w:ascii="Arial" w:hAnsi="Arial" w:cs="Arial"/>
          <w:bCs/>
        </w:rPr>
        <w:t xml:space="preserve"> </w:t>
      </w:r>
      <w:r w:rsidR="005E7544" w:rsidRPr="00D916B7">
        <w:rPr>
          <w:rFonts w:ascii="Arial" w:hAnsi="Arial" w:cs="Arial"/>
          <w:bCs/>
        </w:rPr>
        <w:t>con</w:t>
      </w:r>
      <w:r w:rsidRPr="00D916B7">
        <w:rPr>
          <w:rFonts w:ascii="Arial" w:hAnsi="Arial" w:cs="Arial"/>
          <w:bCs/>
        </w:rPr>
        <w:t xml:space="preserve"> base a los siguientes razonamientos.</w:t>
      </w:r>
    </w:p>
    <w:p w14:paraId="318B063C" w14:textId="4A9F024C" w:rsidR="00416BAF" w:rsidRPr="00D916B7" w:rsidRDefault="00416BAF" w:rsidP="00D70478">
      <w:pPr>
        <w:pStyle w:val="NormalWeb"/>
        <w:spacing w:before="0" w:after="0" w:line="276" w:lineRule="auto"/>
        <w:jc w:val="both"/>
        <w:rPr>
          <w:rFonts w:ascii="Arial" w:hAnsi="Arial" w:cs="Arial"/>
          <w:bCs/>
        </w:rPr>
      </w:pPr>
    </w:p>
    <w:p w14:paraId="1BB0D617" w14:textId="4248E398" w:rsidR="0061069D" w:rsidRPr="00D916B7" w:rsidRDefault="00BD6880" w:rsidP="00D70478">
      <w:pPr>
        <w:pStyle w:val="NormalWeb"/>
        <w:spacing w:before="0" w:after="0" w:line="276" w:lineRule="auto"/>
        <w:jc w:val="both"/>
        <w:rPr>
          <w:rFonts w:ascii="Arial" w:hAnsi="Arial" w:cs="Arial"/>
          <w:bCs/>
        </w:rPr>
      </w:pPr>
      <w:r w:rsidRPr="00D916B7">
        <w:rPr>
          <w:rFonts w:ascii="Arial" w:hAnsi="Arial" w:cs="Arial"/>
          <w:bCs/>
        </w:rPr>
        <w:t>El recurrente s</w:t>
      </w:r>
      <w:r w:rsidR="0061069D" w:rsidRPr="00D916B7">
        <w:rPr>
          <w:rFonts w:ascii="Arial" w:hAnsi="Arial" w:cs="Arial"/>
          <w:bCs/>
        </w:rPr>
        <w:t>eñala que la queja debe ser admitida</w:t>
      </w:r>
      <w:r w:rsidR="00920025" w:rsidRPr="00D916B7">
        <w:rPr>
          <w:rFonts w:ascii="Arial" w:hAnsi="Arial" w:cs="Arial"/>
          <w:bCs/>
        </w:rPr>
        <w:t xml:space="preserve"> a trámite</w:t>
      </w:r>
      <w:r w:rsidR="0061069D" w:rsidRPr="00D916B7">
        <w:rPr>
          <w:rFonts w:ascii="Arial" w:hAnsi="Arial" w:cs="Arial"/>
          <w:bCs/>
        </w:rPr>
        <w:t>, dado que la conducta del denunciado se debe regir por las normas locales y no por normas generales</w:t>
      </w:r>
      <w:r w:rsidR="00920025" w:rsidRPr="00D916B7">
        <w:rPr>
          <w:rFonts w:ascii="Arial" w:hAnsi="Arial" w:cs="Arial"/>
          <w:bCs/>
        </w:rPr>
        <w:t>, como es la Ley General de Instituciones y Procedimientos Electorales</w:t>
      </w:r>
      <w:r w:rsidR="0061069D" w:rsidRPr="00D916B7">
        <w:rPr>
          <w:rFonts w:ascii="Arial" w:hAnsi="Arial" w:cs="Arial"/>
          <w:bCs/>
        </w:rPr>
        <w:t>. Respecto a lo ant</w:t>
      </w:r>
      <w:r w:rsidR="00DF6286" w:rsidRPr="00D916B7">
        <w:rPr>
          <w:rFonts w:ascii="Arial" w:hAnsi="Arial" w:cs="Arial"/>
          <w:bCs/>
        </w:rPr>
        <w:t>erior, en el acuerdo combatido se refiere lo siguiente:</w:t>
      </w:r>
    </w:p>
    <w:p w14:paraId="0AAED0E6" w14:textId="6F90C644" w:rsidR="0061069D" w:rsidRPr="00D916B7" w:rsidRDefault="0061069D" w:rsidP="00D70478">
      <w:pPr>
        <w:pStyle w:val="NormalWeb"/>
        <w:spacing w:before="0" w:after="0" w:line="276" w:lineRule="auto"/>
        <w:jc w:val="both"/>
        <w:rPr>
          <w:rFonts w:ascii="Arial" w:hAnsi="Arial" w:cs="Arial"/>
          <w:bCs/>
        </w:rPr>
      </w:pPr>
    </w:p>
    <w:p w14:paraId="2013202E" w14:textId="593560CE" w:rsidR="0061069D" w:rsidRPr="00D916B7" w:rsidRDefault="00DF6286" w:rsidP="00D70478">
      <w:pPr>
        <w:pStyle w:val="NormalWeb"/>
        <w:spacing w:before="0" w:after="0" w:line="276" w:lineRule="auto"/>
        <w:jc w:val="both"/>
        <w:rPr>
          <w:rFonts w:ascii="Arial" w:eastAsia="Trebuchet MS" w:hAnsi="Arial" w:cs="Arial"/>
          <w:i/>
          <w:iCs/>
        </w:rPr>
      </w:pPr>
      <w:r w:rsidRPr="00D916B7">
        <w:rPr>
          <w:rFonts w:ascii="Arial" w:eastAsia="Trebuchet MS" w:hAnsi="Arial" w:cs="Arial"/>
          <w:i/>
          <w:iCs/>
        </w:rPr>
        <w:t>“…</w:t>
      </w:r>
      <w:r w:rsidR="0061069D" w:rsidRPr="00D916B7">
        <w:rPr>
          <w:rFonts w:ascii="Arial" w:eastAsia="Trebuchet MS" w:hAnsi="Arial" w:cs="Arial"/>
          <w:i/>
          <w:iCs/>
        </w:rPr>
        <w:t xml:space="preserve">el magistrado electoral local integrante del pleno del tribunal local es un servidor público y se encuentra sometido a la posibilidad de que se le exija responsabilidad respecto de las conductas que asuma en el desempeño de sus atribuciones, con motivo de posibles violaciones a los principios de la función electoral, también es </w:t>
      </w:r>
      <w:r w:rsidR="0061069D" w:rsidRPr="00D916B7">
        <w:rPr>
          <w:rFonts w:ascii="Arial" w:eastAsia="Trebuchet MS" w:hAnsi="Arial" w:cs="Arial"/>
          <w:i/>
          <w:iCs/>
        </w:rPr>
        <w:lastRenderedPageBreak/>
        <w:t>cierto que, de conformidad con el diseño constitucional y legal, el análisis de su posible responsabilidad como integrante del máximo órgano jurisdiccional en materia electoral del estado de Jalisco, se realiza por diversa vía y órgano.</w:t>
      </w:r>
      <w:r w:rsidRPr="00D916B7">
        <w:rPr>
          <w:rFonts w:ascii="Arial" w:eastAsia="Trebuchet MS" w:hAnsi="Arial" w:cs="Arial"/>
          <w:i/>
          <w:iCs/>
        </w:rPr>
        <w:t>”</w:t>
      </w:r>
    </w:p>
    <w:p w14:paraId="6FCF95E6" w14:textId="09B69B4F" w:rsidR="00DF6286" w:rsidRPr="00D916B7" w:rsidRDefault="00DF6286" w:rsidP="00D70478">
      <w:pPr>
        <w:pStyle w:val="NormalWeb"/>
        <w:spacing w:before="0" w:after="0" w:line="276" w:lineRule="auto"/>
        <w:jc w:val="both"/>
        <w:rPr>
          <w:rFonts w:ascii="Arial" w:eastAsia="Trebuchet MS" w:hAnsi="Arial" w:cs="Arial"/>
        </w:rPr>
      </w:pPr>
    </w:p>
    <w:p w14:paraId="672ACF3B" w14:textId="1BA03B75" w:rsidR="000B7CF4" w:rsidRPr="00D916B7" w:rsidRDefault="00DF6286" w:rsidP="00D70478">
      <w:pPr>
        <w:pStyle w:val="NormalWeb"/>
        <w:spacing w:before="0" w:after="0" w:line="276" w:lineRule="auto"/>
        <w:jc w:val="both"/>
        <w:rPr>
          <w:rFonts w:ascii="Arial" w:eastAsia="Trebuchet MS" w:hAnsi="Arial" w:cs="Arial"/>
        </w:rPr>
      </w:pPr>
      <w:r w:rsidRPr="00D916B7">
        <w:rPr>
          <w:rFonts w:ascii="Arial" w:eastAsia="Trebuchet MS" w:hAnsi="Arial" w:cs="Arial"/>
        </w:rPr>
        <w:t>Co</w:t>
      </w:r>
      <w:r w:rsidR="00920025" w:rsidRPr="00D916B7">
        <w:rPr>
          <w:rFonts w:ascii="Arial" w:eastAsia="Trebuchet MS" w:hAnsi="Arial" w:cs="Arial"/>
        </w:rPr>
        <w:t>mo se advierte de lo transcrito</w:t>
      </w:r>
      <w:r w:rsidRPr="00D916B7">
        <w:rPr>
          <w:rFonts w:ascii="Arial" w:eastAsia="Trebuchet MS" w:hAnsi="Arial" w:cs="Arial"/>
        </w:rPr>
        <w:t xml:space="preserve">, </w:t>
      </w:r>
      <w:r w:rsidR="00920025" w:rsidRPr="00D916B7">
        <w:rPr>
          <w:rFonts w:ascii="Arial" w:eastAsia="Trebuchet MS" w:hAnsi="Arial" w:cs="Arial"/>
        </w:rPr>
        <w:t xml:space="preserve">en el acuerdo recurrido </w:t>
      </w:r>
      <w:r w:rsidRPr="00D916B7">
        <w:rPr>
          <w:rFonts w:ascii="Arial" w:eastAsia="Trebuchet MS" w:hAnsi="Arial" w:cs="Arial"/>
        </w:rPr>
        <w:t xml:space="preserve">no se está afirmando que un magistrado local no deba observar y cumplir con las disposiciones que establece el Código Electoral del </w:t>
      </w:r>
      <w:r w:rsidR="00CD127D" w:rsidRPr="00D916B7">
        <w:rPr>
          <w:rFonts w:ascii="Arial" w:eastAsia="Trebuchet MS" w:hAnsi="Arial" w:cs="Arial"/>
        </w:rPr>
        <w:t>E</w:t>
      </w:r>
      <w:r w:rsidRPr="00D916B7">
        <w:rPr>
          <w:rFonts w:ascii="Arial" w:eastAsia="Trebuchet MS" w:hAnsi="Arial" w:cs="Arial"/>
        </w:rPr>
        <w:t>stado de Jalisco, sino únicamente que un procedimiento sancionador ordinari</w:t>
      </w:r>
      <w:r w:rsidR="000B7CF4" w:rsidRPr="00D916B7">
        <w:rPr>
          <w:rFonts w:ascii="Arial" w:eastAsia="Trebuchet MS" w:hAnsi="Arial" w:cs="Arial"/>
        </w:rPr>
        <w:t>o</w:t>
      </w:r>
      <w:r w:rsidRPr="00D916B7">
        <w:rPr>
          <w:rFonts w:ascii="Arial" w:eastAsia="Trebuchet MS" w:hAnsi="Arial" w:cs="Arial"/>
        </w:rPr>
        <w:t xml:space="preserve"> </w:t>
      </w:r>
      <w:r w:rsidR="000B7CF4" w:rsidRPr="00D916B7">
        <w:rPr>
          <w:rFonts w:ascii="Arial" w:eastAsia="Trebuchet MS" w:hAnsi="Arial" w:cs="Arial"/>
        </w:rPr>
        <w:t xml:space="preserve">no es </w:t>
      </w:r>
      <w:r w:rsidR="00CD127D" w:rsidRPr="00D916B7">
        <w:rPr>
          <w:rFonts w:ascii="Arial" w:eastAsia="Trebuchet MS" w:hAnsi="Arial" w:cs="Arial"/>
        </w:rPr>
        <w:t>l</w:t>
      </w:r>
      <w:r w:rsidR="000B7CF4" w:rsidRPr="00D916B7">
        <w:rPr>
          <w:rFonts w:ascii="Arial" w:eastAsia="Trebuchet MS" w:hAnsi="Arial" w:cs="Arial"/>
        </w:rPr>
        <w:t>a vía idónea para sujetar a escrutinio la actuación de una magistratura electoral local, ya que no está diseñado como una vía para controlar su actuación, por lo que el Instituto como autoridad administrativa electoral carece de competencia para ello.</w:t>
      </w:r>
      <w:r w:rsidR="000B7CF4" w:rsidRPr="00D916B7">
        <w:rPr>
          <w:rStyle w:val="Refdenotaalpie"/>
          <w:rFonts w:ascii="Arial" w:eastAsia="Trebuchet MS" w:hAnsi="Arial" w:cs="Arial"/>
        </w:rPr>
        <w:footnoteReference w:id="6"/>
      </w:r>
    </w:p>
    <w:p w14:paraId="4BCCDF12" w14:textId="12741B3F" w:rsidR="0061069D" w:rsidRPr="00D916B7" w:rsidRDefault="0061069D" w:rsidP="00D70478">
      <w:pPr>
        <w:pStyle w:val="NormalWeb"/>
        <w:spacing w:before="0" w:after="0" w:line="276" w:lineRule="auto"/>
        <w:jc w:val="both"/>
        <w:rPr>
          <w:rFonts w:ascii="Arial" w:hAnsi="Arial" w:cs="Arial"/>
          <w:bCs/>
        </w:rPr>
      </w:pPr>
    </w:p>
    <w:p w14:paraId="660F9680" w14:textId="6DBE9E70" w:rsidR="0061069D" w:rsidRPr="00D916B7" w:rsidRDefault="00987ACA" w:rsidP="00D70478">
      <w:pPr>
        <w:pStyle w:val="NormalWeb"/>
        <w:spacing w:before="0" w:after="0" w:line="276" w:lineRule="auto"/>
        <w:jc w:val="both"/>
        <w:rPr>
          <w:rFonts w:ascii="Arial" w:hAnsi="Arial" w:cs="Arial"/>
          <w:bCs/>
        </w:rPr>
      </w:pPr>
      <w:r w:rsidRPr="00D916B7">
        <w:rPr>
          <w:rFonts w:ascii="Arial" w:hAnsi="Arial" w:cs="Arial"/>
          <w:bCs/>
        </w:rPr>
        <w:t xml:space="preserve">Asimismo, el recurrente señala que </w:t>
      </w:r>
      <w:r w:rsidR="0045026C" w:rsidRPr="00D916B7">
        <w:rPr>
          <w:rFonts w:ascii="Arial" w:hAnsi="Arial" w:cs="Arial"/>
          <w:bCs/>
        </w:rPr>
        <w:t xml:space="preserve">se desecha la queja sin fundamentación o motivación, dado que </w:t>
      </w:r>
      <w:r w:rsidRPr="00D916B7">
        <w:rPr>
          <w:rFonts w:ascii="Arial" w:hAnsi="Arial" w:cs="Arial"/>
          <w:bCs/>
        </w:rPr>
        <w:t xml:space="preserve">el </w:t>
      </w:r>
      <w:r w:rsidR="0045026C" w:rsidRPr="00D916B7">
        <w:rPr>
          <w:rFonts w:ascii="Arial" w:hAnsi="Arial" w:cs="Arial"/>
          <w:bCs/>
        </w:rPr>
        <w:t>código comicial local no establece ningún régimen especial o fuero que otorgue una excepción para conocer</w:t>
      </w:r>
      <w:r w:rsidR="00920025" w:rsidRPr="00D916B7">
        <w:rPr>
          <w:rFonts w:ascii="Arial" w:hAnsi="Arial" w:cs="Arial"/>
          <w:bCs/>
        </w:rPr>
        <w:t xml:space="preserve"> de las posibles infracciones realizadas por un Magistrado local y que se debió </w:t>
      </w:r>
      <w:r w:rsidR="00860326" w:rsidRPr="00D916B7">
        <w:rPr>
          <w:rFonts w:ascii="Arial" w:hAnsi="Arial" w:cs="Arial"/>
          <w:bCs/>
        </w:rPr>
        <w:t>tramitar la</w:t>
      </w:r>
      <w:r w:rsidR="0045026C" w:rsidRPr="00D916B7">
        <w:rPr>
          <w:rFonts w:ascii="Arial" w:hAnsi="Arial" w:cs="Arial"/>
          <w:bCs/>
        </w:rPr>
        <w:t xml:space="preserve"> queja presentada.</w:t>
      </w:r>
    </w:p>
    <w:p w14:paraId="61B61371" w14:textId="3211262B" w:rsidR="00987ACA" w:rsidRPr="00D916B7" w:rsidRDefault="00987ACA" w:rsidP="00D70478">
      <w:pPr>
        <w:pStyle w:val="NormalWeb"/>
        <w:spacing w:before="0" w:after="0" w:line="276" w:lineRule="auto"/>
        <w:jc w:val="both"/>
        <w:rPr>
          <w:rFonts w:ascii="Arial" w:hAnsi="Arial" w:cs="Arial"/>
          <w:bCs/>
        </w:rPr>
      </w:pPr>
    </w:p>
    <w:p w14:paraId="69DF2ED1" w14:textId="25AACD7A" w:rsidR="0045026C" w:rsidRPr="00D916B7" w:rsidRDefault="0045026C" w:rsidP="00D70478">
      <w:pPr>
        <w:pStyle w:val="NormalWeb"/>
        <w:spacing w:before="0" w:after="0" w:line="276" w:lineRule="auto"/>
        <w:jc w:val="both"/>
        <w:rPr>
          <w:rFonts w:ascii="Arial" w:eastAsia="Trebuchet MS" w:hAnsi="Arial" w:cs="Arial"/>
        </w:rPr>
      </w:pPr>
      <w:r w:rsidRPr="00D916B7">
        <w:rPr>
          <w:rFonts w:ascii="Arial" w:hAnsi="Arial" w:cs="Arial"/>
          <w:bCs/>
        </w:rPr>
        <w:t>Contrario a lo señalado</w:t>
      </w:r>
      <w:r w:rsidR="000B7CF4" w:rsidRPr="00D916B7">
        <w:rPr>
          <w:rFonts w:ascii="Arial" w:hAnsi="Arial" w:cs="Arial"/>
          <w:bCs/>
        </w:rPr>
        <w:t xml:space="preserve"> en párrafo que antecede</w:t>
      </w:r>
      <w:r w:rsidRPr="00D916B7">
        <w:rPr>
          <w:rFonts w:ascii="Arial" w:hAnsi="Arial" w:cs="Arial"/>
          <w:bCs/>
        </w:rPr>
        <w:t>, el acuerdo impugnado s</w:t>
      </w:r>
      <w:r w:rsidR="00860326" w:rsidRPr="00D916B7">
        <w:rPr>
          <w:rFonts w:ascii="Arial" w:hAnsi="Arial" w:cs="Arial"/>
          <w:bCs/>
        </w:rPr>
        <w:t>í</w:t>
      </w:r>
      <w:r w:rsidRPr="00D916B7">
        <w:rPr>
          <w:rFonts w:ascii="Arial" w:hAnsi="Arial" w:cs="Arial"/>
          <w:bCs/>
        </w:rPr>
        <w:t xml:space="preserve"> se encuentra fundado y motivado, dado que se razona que el marco </w:t>
      </w:r>
      <w:r w:rsidRPr="00D916B7">
        <w:rPr>
          <w:rFonts w:ascii="Arial" w:eastAsia="Trebuchet MS" w:hAnsi="Arial" w:cs="Arial"/>
        </w:rPr>
        <w:t>jurídico normativo que r</w:t>
      </w:r>
      <w:r w:rsidR="00900D28" w:rsidRPr="00D916B7">
        <w:rPr>
          <w:rFonts w:ascii="Arial" w:eastAsia="Trebuchet MS" w:hAnsi="Arial" w:cs="Arial"/>
        </w:rPr>
        <w:t>ige</w:t>
      </w:r>
      <w:r w:rsidRPr="00D916B7">
        <w:rPr>
          <w:rFonts w:ascii="Arial" w:eastAsia="Trebuchet MS" w:hAnsi="Arial" w:cs="Arial"/>
        </w:rPr>
        <w:t xml:space="preserve"> el funcionamiento de los tribunales locales </w:t>
      </w:r>
      <w:r w:rsidR="00F8473E" w:rsidRPr="00D916B7">
        <w:rPr>
          <w:rFonts w:ascii="Arial" w:eastAsia="Trebuchet MS" w:hAnsi="Arial" w:cs="Arial"/>
        </w:rPr>
        <w:t>electorales</w:t>
      </w:r>
      <w:r w:rsidRPr="00D916B7">
        <w:rPr>
          <w:rFonts w:ascii="Arial" w:eastAsia="Trebuchet MS" w:hAnsi="Arial" w:cs="Arial"/>
        </w:rPr>
        <w:t xml:space="preserve"> </w:t>
      </w:r>
      <w:r w:rsidR="00900D28" w:rsidRPr="00D916B7">
        <w:rPr>
          <w:rFonts w:ascii="Arial" w:eastAsia="Trebuchet MS" w:hAnsi="Arial" w:cs="Arial"/>
        </w:rPr>
        <w:t>no establece un</w:t>
      </w:r>
      <w:r w:rsidRPr="00D916B7">
        <w:rPr>
          <w:rFonts w:ascii="Arial" w:eastAsia="Trebuchet MS" w:hAnsi="Arial" w:cs="Arial"/>
        </w:rPr>
        <w:t xml:space="preserve"> procedimiento para la imposición de sanciones en caso de violaciones a la normativa electoral.</w:t>
      </w:r>
    </w:p>
    <w:p w14:paraId="6B2BBA8D" w14:textId="77777777" w:rsidR="00900D28" w:rsidRPr="00D916B7" w:rsidRDefault="00900D28" w:rsidP="00D70478">
      <w:pPr>
        <w:pStyle w:val="Sinespaciado"/>
        <w:spacing w:line="276" w:lineRule="auto"/>
        <w:jc w:val="both"/>
        <w:rPr>
          <w:rFonts w:ascii="Arial" w:eastAsia="Trebuchet MS" w:hAnsi="Arial" w:cs="Arial"/>
          <w:sz w:val="24"/>
          <w:szCs w:val="24"/>
          <w:highlight w:val="cyan"/>
        </w:rPr>
      </w:pPr>
    </w:p>
    <w:p w14:paraId="261FA4C6" w14:textId="751026E2" w:rsidR="00EC173E" w:rsidRPr="00D916B7" w:rsidRDefault="00EC173E" w:rsidP="00D70478">
      <w:pPr>
        <w:pStyle w:val="NormalWeb"/>
        <w:spacing w:before="0" w:after="0" w:line="276" w:lineRule="auto"/>
        <w:jc w:val="both"/>
        <w:rPr>
          <w:rFonts w:ascii="Arial" w:hAnsi="Arial" w:cs="Arial"/>
          <w:bCs/>
        </w:rPr>
      </w:pPr>
      <w:r w:rsidRPr="00D916B7">
        <w:rPr>
          <w:rFonts w:ascii="Arial" w:hAnsi="Arial" w:cs="Arial"/>
          <w:bCs/>
        </w:rPr>
        <w:t>De igual forma</w:t>
      </w:r>
      <w:r w:rsidR="00337365" w:rsidRPr="00D916B7">
        <w:rPr>
          <w:rFonts w:ascii="Arial" w:hAnsi="Arial" w:cs="Arial"/>
          <w:bCs/>
        </w:rPr>
        <w:t>,</w:t>
      </w:r>
      <w:r w:rsidRPr="00D916B7">
        <w:rPr>
          <w:rFonts w:ascii="Arial" w:hAnsi="Arial" w:cs="Arial"/>
          <w:bCs/>
        </w:rPr>
        <w:t xml:space="preserve"> se refiere </w:t>
      </w:r>
      <w:r w:rsidR="00302EFB" w:rsidRPr="00D916B7">
        <w:rPr>
          <w:rFonts w:ascii="Arial" w:hAnsi="Arial" w:cs="Arial"/>
          <w:bCs/>
        </w:rPr>
        <w:t>en el acuerdo</w:t>
      </w:r>
      <w:r w:rsidR="009008F5" w:rsidRPr="00D916B7">
        <w:rPr>
          <w:rFonts w:ascii="Arial" w:hAnsi="Arial" w:cs="Arial"/>
          <w:bCs/>
        </w:rPr>
        <w:t xml:space="preserve"> del </w:t>
      </w:r>
      <w:proofErr w:type="gramStart"/>
      <w:r w:rsidR="009008F5" w:rsidRPr="00D916B7">
        <w:rPr>
          <w:rFonts w:ascii="Arial" w:hAnsi="Arial" w:cs="Arial"/>
          <w:bCs/>
        </w:rPr>
        <w:t>Secretario Ejecutivo</w:t>
      </w:r>
      <w:proofErr w:type="gramEnd"/>
      <w:r w:rsidR="00302EFB" w:rsidRPr="00D916B7">
        <w:rPr>
          <w:rFonts w:ascii="Arial" w:hAnsi="Arial" w:cs="Arial"/>
          <w:bCs/>
        </w:rPr>
        <w:t xml:space="preserve"> </w:t>
      </w:r>
      <w:r w:rsidRPr="00D916B7">
        <w:rPr>
          <w:rFonts w:ascii="Arial" w:hAnsi="Arial" w:cs="Arial"/>
          <w:bCs/>
        </w:rPr>
        <w:t>que</w:t>
      </w:r>
      <w:r w:rsidR="00337365" w:rsidRPr="00D916B7">
        <w:rPr>
          <w:rFonts w:ascii="Arial" w:hAnsi="Arial" w:cs="Arial"/>
          <w:bCs/>
        </w:rPr>
        <w:t>,</w:t>
      </w:r>
      <w:r w:rsidRPr="00D916B7">
        <w:rPr>
          <w:rFonts w:ascii="Arial" w:hAnsi="Arial" w:cs="Arial"/>
          <w:bCs/>
        </w:rPr>
        <w:t xml:space="preserve"> la Sala Superior ha </w:t>
      </w:r>
      <w:r w:rsidR="00302EFB" w:rsidRPr="00D916B7">
        <w:rPr>
          <w:rFonts w:ascii="Arial" w:hAnsi="Arial" w:cs="Arial"/>
          <w:bCs/>
        </w:rPr>
        <w:t>considerado que no existe</w:t>
      </w:r>
      <w:r w:rsidRPr="00D916B7">
        <w:rPr>
          <w:rFonts w:ascii="Arial" w:hAnsi="Arial" w:cs="Arial"/>
          <w:bCs/>
        </w:rPr>
        <w:t xml:space="preserve"> un procedimiento mediante el cual se puedan imponer sanciones a</w:t>
      </w:r>
      <w:r w:rsidR="00302EFB" w:rsidRPr="00D916B7">
        <w:rPr>
          <w:rFonts w:ascii="Arial" w:hAnsi="Arial" w:cs="Arial"/>
          <w:bCs/>
        </w:rPr>
        <w:t xml:space="preserve"> las magistraturas locales</w:t>
      </w:r>
      <w:r w:rsidRPr="00D916B7">
        <w:rPr>
          <w:rFonts w:ascii="Arial" w:hAnsi="Arial" w:cs="Arial"/>
          <w:bCs/>
        </w:rPr>
        <w:t xml:space="preserve"> por las irregularidades en que pudieran incurrir en el ejercicio de su cargo, que no necesariamente llevarían a la remoción.</w:t>
      </w:r>
      <w:r w:rsidR="00302EFB" w:rsidRPr="00D916B7">
        <w:rPr>
          <w:rFonts w:ascii="Arial" w:hAnsi="Arial" w:cs="Arial"/>
          <w:bCs/>
        </w:rPr>
        <w:t xml:space="preserve"> </w:t>
      </w:r>
    </w:p>
    <w:p w14:paraId="34B0B205" w14:textId="77777777" w:rsidR="00302EFB" w:rsidRPr="00D916B7" w:rsidRDefault="00302EFB" w:rsidP="00D70478">
      <w:pPr>
        <w:pStyle w:val="NormalWeb"/>
        <w:spacing w:before="0" w:after="0" w:line="276" w:lineRule="auto"/>
        <w:jc w:val="both"/>
        <w:rPr>
          <w:rFonts w:ascii="Arial" w:hAnsi="Arial" w:cs="Arial"/>
          <w:bCs/>
        </w:rPr>
      </w:pPr>
    </w:p>
    <w:p w14:paraId="27010F6E" w14:textId="7FAEB07E" w:rsidR="00EC173E" w:rsidRPr="00D916B7" w:rsidRDefault="00BF5F2F" w:rsidP="00D70478">
      <w:pPr>
        <w:pStyle w:val="NormalWeb"/>
        <w:spacing w:before="0" w:after="0" w:line="276" w:lineRule="auto"/>
        <w:jc w:val="both"/>
        <w:rPr>
          <w:rFonts w:ascii="Arial" w:hAnsi="Arial" w:cs="Arial"/>
          <w:bCs/>
        </w:rPr>
      </w:pPr>
      <w:r w:rsidRPr="00D916B7">
        <w:rPr>
          <w:rFonts w:ascii="Arial" w:hAnsi="Arial" w:cs="Arial"/>
          <w:bCs/>
        </w:rPr>
        <w:t>Continua el acuerdo recurrido manifestando que, la Sala Superior ha determinado que,</w:t>
      </w:r>
      <w:r w:rsidR="00302EFB" w:rsidRPr="00D916B7">
        <w:rPr>
          <w:rFonts w:ascii="Arial" w:hAnsi="Arial" w:cs="Arial"/>
          <w:bCs/>
        </w:rPr>
        <w:t xml:space="preserve"> “</w:t>
      </w:r>
      <w:r w:rsidR="00EC173E" w:rsidRPr="00D916B7">
        <w:rPr>
          <w:rFonts w:ascii="Arial" w:hAnsi="Arial" w:cs="Arial"/>
          <w:bCs/>
          <w:i/>
          <w:iCs/>
        </w:rPr>
        <w:t xml:space="preserve">si la designación de las magistraturas de los tribunales electorales locales se realiza por la Cámara de Senadores y de la normativa aplicable, no se estableció un procedimiento para conocer de las conductas cometidas en el ejercicio de la </w:t>
      </w:r>
      <w:r w:rsidR="00EC173E" w:rsidRPr="00D916B7">
        <w:rPr>
          <w:rFonts w:ascii="Arial" w:hAnsi="Arial" w:cs="Arial"/>
          <w:bCs/>
          <w:i/>
          <w:iCs/>
        </w:rPr>
        <w:lastRenderedPageBreak/>
        <w:t>función jurisdiccional electoral, dicho órgano legislativo debe analizar la viabilidad para establecer un procedimiento para conocer de la conducta de las citadas magistraturas, lo cual, requiere el establecimiento claro de un sistema para, en su caso, previo el respeto de las formalidades del procedimiento, imponer las sanciones que en derecho correspondan</w:t>
      </w:r>
      <w:r w:rsidR="00EC173E" w:rsidRPr="00D916B7">
        <w:rPr>
          <w:rFonts w:ascii="Arial" w:hAnsi="Arial" w:cs="Arial"/>
          <w:bCs/>
        </w:rPr>
        <w:t>.</w:t>
      </w:r>
      <w:r w:rsidR="00302EFB" w:rsidRPr="00D916B7">
        <w:rPr>
          <w:rFonts w:ascii="Arial" w:hAnsi="Arial" w:cs="Arial"/>
          <w:bCs/>
        </w:rPr>
        <w:t>”</w:t>
      </w:r>
      <w:r w:rsidR="00EC173E" w:rsidRPr="00D916B7">
        <w:rPr>
          <w:rFonts w:ascii="Arial" w:hAnsi="Arial" w:cs="Arial"/>
          <w:bCs/>
        </w:rPr>
        <w:t xml:space="preserve"> </w:t>
      </w:r>
    </w:p>
    <w:p w14:paraId="28DD3F85" w14:textId="6EB9BE15" w:rsidR="0045026C" w:rsidRPr="00D916B7" w:rsidRDefault="0045026C" w:rsidP="00D70478">
      <w:pPr>
        <w:pStyle w:val="NormalWeb"/>
        <w:spacing w:before="0" w:after="0" w:line="276" w:lineRule="auto"/>
        <w:jc w:val="both"/>
        <w:rPr>
          <w:rFonts w:ascii="Arial" w:hAnsi="Arial" w:cs="Arial"/>
          <w:bCs/>
        </w:rPr>
      </w:pPr>
    </w:p>
    <w:p w14:paraId="420A4D86" w14:textId="579E9FCA" w:rsidR="0045026C" w:rsidRPr="00D916B7" w:rsidRDefault="00302EFB" w:rsidP="00D70478">
      <w:pPr>
        <w:pStyle w:val="NormalWeb"/>
        <w:spacing w:before="0" w:after="0" w:line="276" w:lineRule="auto"/>
        <w:jc w:val="both"/>
        <w:rPr>
          <w:rFonts w:ascii="Arial" w:hAnsi="Arial" w:cs="Arial"/>
          <w:bCs/>
        </w:rPr>
      </w:pPr>
      <w:r w:rsidRPr="00D916B7">
        <w:rPr>
          <w:rFonts w:ascii="Arial" w:hAnsi="Arial" w:cs="Arial"/>
          <w:bCs/>
        </w:rPr>
        <w:t>Dicho criterio ha sido sostenido por la Sala Superior en la resolución de diversos medios de impugnación</w:t>
      </w:r>
      <w:r w:rsidRPr="00D916B7">
        <w:rPr>
          <w:rStyle w:val="Refdenotaalpie"/>
          <w:rFonts w:ascii="Arial" w:hAnsi="Arial" w:cs="Arial"/>
          <w:bCs/>
        </w:rPr>
        <w:footnoteReference w:id="7"/>
      </w:r>
      <w:r w:rsidRPr="00D916B7">
        <w:rPr>
          <w:rFonts w:ascii="Arial" w:hAnsi="Arial" w:cs="Arial"/>
          <w:bCs/>
        </w:rPr>
        <w:t>, y en la tesis de rubro XXXVIII/2016 —COMPETENCIA. PARA CONOCER DE LA CONDUCTA DE LOS INTEGRANTES DE LOS TRIBUNALES ELECTORALES LOCALES, EN EL EJERCICIO DE LA FUNCIÓN JURISDICCIONAL ELECTORAL, CORRESPONDE A LA CÁMARA DE SENADORES—.</w:t>
      </w:r>
    </w:p>
    <w:p w14:paraId="7B64E0A5" w14:textId="680B1918" w:rsidR="00337365" w:rsidRPr="00D916B7" w:rsidRDefault="00337365" w:rsidP="00D70478">
      <w:pPr>
        <w:pStyle w:val="NormalWeb"/>
        <w:spacing w:before="0" w:after="0" w:line="276" w:lineRule="auto"/>
        <w:jc w:val="both"/>
        <w:rPr>
          <w:rFonts w:ascii="Arial" w:hAnsi="Arial" w:cs="Arial"/>
          <w:bCs/>
        </w:rPr>
      </w:pPr>
    </w:p>
    <w:p w14:paraId="0CCE9101" w14:textId="17E6127C" w:rsidR="00337365" w:rsidRPr="00D916B7" w:rsidRDefault="00337365" w:rsidP="00D70478">
      <w:pPr>
        <w:pStyle w:val="NormalWeb"/>
        <w:spacing w:before="0" w:after="0" w:line="276" w:lineRule="auto"/>
        <w:jc w:val="both"/>
        <w:rPr>
          <w:rFonts w:ascii="Arial" w:hAnsi="Arial" w:cs="Arial"/>
          <w:bCs/>
        </w:rPr>
      </w:pPr>
      <w:r w:rsidRPr="00D916B7">
        <w:rPr>
          <w:rFonts w:ascii="Arial" w:hAnsi="Arial" w:cs="Arial"/>
          <w:bCs/>
        </w:rPr>
        <w:t>Por consiguiente, es claro que el acuerdo recurrido s</w:t>
      </w:r>
      <w:r w:rsidR="00860326" w:rsidRPr="00D916B7">
        <w:rPr>
          <w:rFonts w:ascii="Arial" w:hAnsi="Arial" w:cs="Arial"/>
          <w:bCs/>
        </w:rPr>
        <w:t>í</w:t>
      </w:r>
      <w:r w:rsidRPr="00D916B7">
        <w:rPr>
          <w:rFonts w:ascii="Arial" w:hAnsi="Arial" w:cs="Arial"/>
          <w:bCs/>
        </w:rPr>
        <w:t xml:space="preserve"> cuenta con </w:t>
      </w:r>
      <w:r w:rsidR="00606FC3" w:rsidRPr="00D916B7">
        <w:rPr>
          <w:rFonts w:ascii="Arial" w:hAnsi="Arial" w:cs="Arial"/>
          <w:bCs/>
        </w:rPr>
        <w:t xml:space="preserve">la debida </w:t>
      </w:r>
      <w:r w:rsidRPr="00D916B7">
        <w:rPr>
          <w:rFonts w:ascii="Arial" w:hAnsi="Arial" w:cs="Arial"/>
          <w:bCs/>
        </w:rPr>
        <w:t>motivación y fundamentación, y que contrario a lo manifestado por el actor no se est</w:t>
      </w:r>
      <w:r w:rsidR="00606FC3" w:rsidRPr="00D916B7">
        <w:rPr>
          <w:rFonts w:ascii="Arial" w:hAnsi="Arial" w:cs="Arial"/>
          <w:bCs/>
        </w:rPr>
        <w:t>á</w:t>
      </w:r>
      <w:r w:rsidRPr="00D916B7">
        <w:rPr>
          <w:rFonts w:ascii="Arial" w:hAnsi="Arial" w:cs="Arial"/>
          <w:bCs/>
        </w:rPr>
        <w:t xml:space="preserve"> determinando que el denunciado en el procedimiento sancionador ordinario no sea sujeto a responsabilidad alguna, o que se encuentre en un régimen especial o de fuero; sino que únicamente se está concluyendo conforme a los precedentes del Tribunal Electoral del Poder Judicial de la Federación, que la autoridad competente para conocer de una posible responsabilidad </w:t>
      </w:r>
      <w:r w:rsidR="00860326" w:rsidRPr="00D916B7">
        <w:rPr>
          <w:rFonts w:ascii="Arial" w:hAnsi="Arial" w:cs="Arial"/>
          <w:bCs/>
        </w:rPr>
        <w:t xml:space="preserve">o irregularidad del magistrado denunciado </w:t>
      </w:r>
      <w:r w:rsidRPr="00D916B7">
        <w:rPr>
          <w:rFonts w:ascii="Arial" w:hAnsi="Arial" w:cs="Arial"/>
          <w:bCs/>
        </w:rPr>
        <w:t>es la Cámara de Senadores.</w:t>
      </w:r>
    </w:p>
    <w:p w14:paraId="4315B016" w14:textId="13E746A0" w:rsidR="0045026C" w:rsidRPr="00D916B7" w:rsidRDefault="0045026C" w:rsidP="00D70478">
      <w:pPr>
        <w:pStyle w:val="NormalWeb"/>
        <w:spacing w:before="0" w:after="0" w:line="276" w:lineRule="auto"/>
        <w:jc w:val="both"/>
        <w:rPr>
          <w:rFonts w:ascii="Arial" w:hAnsi="Arial" w:cs="Arial"/>
          <w:bCs/>
        </w:rPr>
      </w:pPr>
    </w:p>
    <w:p w14:paraId="08ABCF25" w14:textId="68E27472" w:rsidR="00D47D95" w:rsidRPr="00D916B7" w:rsidRDefault="00737BD4" w:rsidP="00D70478">
      <w:pPr>
        <w:pStyle w:val="NormalWeb"/>
        <w:spacing w:before="0" w:after="0" w:line="276" w:lineRule="auto"/>
        <w:jc w:val="both"/>
        <w:rPr>
          <w:rFonts w:ascii="Arial" w:hAnsi="Arial" w:cs="Arial"/>
          <w:bCs/>
        </w:rPr>
      </w:pPr>
      <w:r w:rsidRPr="00D916B7">
        <w:rPr>
          <w:rFonts w:ascii="Arial" w:hAnsi="Arial" w:cs="Arial"/>
          <w:bCs/>
        </w:rPr>
        <w:t>Por otra parte</w:t>
      </w:r>
      <w:r w:rsidR="00337365" w:rsidRPr="00D916B7">
        <w:rPr>
          <w:rFonts w:ascii="Arial" w:hAnsi="Arial" w:cs="Arial"/>
          <w:bCs/>
        </w:rPr>
        <w:t xml:space="preserve">, </w:t>
      </w:r>
      <w:r w:rsidRPr="00D916B7">
        <w:rPr>
          <w:rFonts w:ascii="Arial" w:hAnsi="Arial" w:cs="Arial"/>
          <w:bCs/>
        </w:rPr>
        <w:t>respecto a</w:t>
      </w:r>
      <w:r w:rsidR="00337365" w:rsidRPr="00D916B7">
        <w:rPr>
          <w:rFonts w:ascii="Arial" w:hAnsi="Arial" w:cs="Arial"/>
          <w:bCs/>
        </w:rPr>
        <w:t xml:space="preserve"> la manifestación</w:t>
      </w:r>
      <w:r w:rsidRPr="00D916B7">
        <w:rPr>
          <w:rFonts w:ascii="Arial" w:hAnsi="Arial" w:cs="Arial"/>
          <w:bCs/>
        </w:rPr>
        <w:t xml:space="preserve"> del recurrente</w:t>
      </w:r>
      <w:r w:rsidR="00337365" w:rsidRPr="00D916B7">
        <w:rPr>
          <w:rFonts w:ascii="Arial" w:hAnsi="Arial" w:cs="Arial"/>
          <w:bCs/>
        </w:rPr>
        <w:t xml:space="preserve"> relativa a que no es aplicable al caso concreto la tesis XXXVIII/2016,</w:t>
      </w:r>
      <w:r w:rsidR="00FE38E4" w:rsidRPr="00D916B7">
        <w:rPr>
          <w:rFonts w:ascii="Arial" w:hAnsi="Arial" w:cs="Arial"/>
          <w:bCs/>
        </w:rPr>
        <w:t xml:space="preserve"> </w:t>
      </w:r>
      <w:r w:rsidR="00D47D95" w:rsidRPr="00D916B7">
        <w:rPr>
          <w:rFonts w:ascii="Arial" w:hAnsi="Arial" w:cs="Arial"/>
          <w:bCs/>
        </w:rPr>
        <w:t xml:space="preserve">es importante señalar que </w:t>
      </w:r>
      <w:r w:rsidR="00FE38E4" w:rsidRPr="00D916B7">
        <w:rPr>
          <w:rFonts w:ascii="Arial" w:hAnsi="Arial" w:cs="Arial"/>
          <w:bCs/>
        </w:rPr>
        <w:t xml:space="preserve">la misma tiene su origen </w:t>
      </w:r>
      <w:r w:rsidR="00D47D95" w:rsidRPr="00D916B7">
        <w:rPr>
          <w:rFonts w:ascii="Arial" w:hAnsi="Arial" w:cs="Arial"/>
          <w:bCs/>
        </w:rPr>
        <w:t>en el juicio ciudadano SUP-JDC-4370</w:t>
      </w:r>
      <w:r w:rsidR="00606FC3" w:rsidRPr="00D916B7">
        <w:rPr>
          <w:rFonts w:ascii="Arial" w:hAnsi="Arial" w:cs="Arial"/>
          <w:bCs/>
        </w:rPr>
        <w:t>/</w:t>
      </w:r>
      <w:r w:rsidR="00D47D95" w:rsidRPr="00D916B7">
        <w:rPr>
          <w:rFonts w:ascii="Arial" w:hAnsi="Arial" w:cs="Arial"/>
          <w:bCs/>
        </w:rPr>
        <w:t>2015, en el cual se reclamó violencia y acoso laboral y se determinó que dichas conductas deberían ser estudiadas por la Cámara de Senadores, conductas que constituyen un acto externo como el que denuncia el recurrente y no se produjeron dentro de la función de “decir el derecho”</w:t>
      </w:r>
      <w:r w:rsidRPr="00D916B7">
        <w:rPr>
          <w:rFonts w:ascii="Arial" w:hAnsi="Arial" w:cs="Arial"/>
          <w:bCs/>
        </w:rPr>
        <w:t xml:space="preserve"> como refiere el acto</w:t>
      </w:r>
      <w:r w:rsidR="00962DAE" w:rsidRPr="00D916B7">
        <w:rPr>
          <w:rFonts w:ascii="Arial" w:hAnsi="Arial" w:cs="Arial"/>
          <w:bCs/>
        </w:rPr>
        <w:t>r</w:t>
      </w:r>
      <w:r w:rsidR="00D47D95" w:rsidRPr="00D916B7">
        <w:rPr>
          <w:rFonts w:ascii="Arial" w:hAnsi="Arial" w:cs="Arial"/>
          <w:bCs/>
        </w:rPr>
        <w:t>.</w:t>
      </w:r>
    </w:p>
    <w:p w14:paraId="3E10724B" w14:textId="77777777" w:rsidR="00D47D95" w:rsidRPr="00D916B7" w:rsidRDefault="00D47D95" w:rsidP="00D70478">
      <w:pPr>
        <w:pStyle w:val="NormalWeb"/>
        <w:spacing w:before="0" w:after="0" w:line="276" w:lineRule="auto"/>
        <w:jc w:val="both"/>
        <w:rPr>
          <w:rFonts w:ascii="Arial" w:hAnsi="Arial" w:cs="Arial"/>
          <w:bCs/>
        </w:rPr>
      </w:pPr>
    </w:p>
    <w:p w14:paraId="17FD7C38" w14:textId="5FCF9D82" w:rsidR="00D47D95" w:rsidRPr="00D916B7" w:rsidRDefault="00D47D95" w:rsidP="00D70478">
      <w:pPr>
        <w:pStyle w:val="NormalWeb"/>
        <w:spacing w:before="0" w:after="0" w:line="276" w:lineRule="auto"/>
        <w:jc w:val="both"/>
        <w:rPr>
          <w:rFonts w:ascii="Arial" w:hAnsi="Arial" w:cs="Arial"/>
          <w:bCs/>
        </w:rPr>
      </w:pPr>
      <w:r w:rsidRPr="00D916B7">
        <w:rPr>
          <w:rFonts w:ascii="Arial" w:hAnsi="Arial" w:cs="Arial"/>
          <w:bCs/>
        </w:rPr>
        <w:t xml:space="preserve">Así, la Sala Superior del Tribunal Electoral del Poder Judicial de la Federación, en su línea jurisprudencial ha sostenido que i) si la designación de las magistraturas de los tribunales electorales locales se realiza por la Cámara de Senadores y </w:t>
      </w:r>
      <w:proofErr w:type="spellStart"/>
      <w:r w:rsidRPr="00D916B7">
        <w:rPr>
          <w:rFonts w:ascii="Arial" w:hAnsi="Arial" w:cs="Arial"/>
          <w:bCs/>
        </w:rPr>
        <w:t>ii</w:t>
      </w:r>
      <w:proofErr w:type="spellEnd"/>
      <w:r w:rsidRPr="00D916B7">
        <w:rPr>
          <w:rFonts w:ascii="Arial" w:hAnsi="Arial" w:cs="Arial"/>
          <w:bCs/>
        </w:rPr>
        <w:t xml:space="preserve">) en la normativa aplicable, no se estableció un sistema para la imposición de sanciones </w:t>
      </w:r>
      <w:r w:rsidRPr="00D916B7">
        <w:rPr>
          <w:rFonts w:ascii="Arial" w:hAnsi="Arial" w:cs="Arial"/>
          <w:bCs/>
        </w:rPr>
        <w:lastRenderedPageBreak/>
        <w:t>por conductas cometidas en el ejercicio de la función jurisdiccional electoral; entonces, la competencia recae en dicho órgano legislativo; cuestión que puede advertirse, en precedentes como:</w:t>
      </w:r>
    </w:p>
    <w:p w14:paraId="3A2DEBF6" w14:textId="77777777" w:rsidR="00D47D95" w:rsidRPr="00D916B7" w:rsidRDefault="00D47D95" w:rsidP="00D70478">
      <w:pPr>
        <w:pStyle w:val="NormalWeb"/>
        <w:spacing w:before="0" w:after="0" w:line="276" w:lineRule="auto"/>
        <w:jc w:val="both"/>
        <w:rPr>
          <w:rFonts w:ascii="Arial" w:hAnsi="Arial" w:cs="Arial"/>
          <w:bCs/>
        </w:rPr>
      </w:pPr>
    </w:p>
    <w:p w14:paraId="72932311" w14:textId="4A4386AD" w:rsidR="00D47D95" w:rsidRPr="00D916B7" w:rsidRDefault="00D47D95" w:rsidP="00D70478">
      <w:pPr>
        <w:pStyle w:val="NormalWeb"/>
        <w:spacing w:before="0" w:after="0" w:line="276" w:lineRule="auto"/>
        <w:jc w:val="both"/>
        <w:rPr>
          <w:rFonts w:ascii="Arial" w:hAnsi="Arial" w:cs="Arial"/>
          <w:bCs/>
        </w:rPr>
      </w:pPr>
      <w:r w:rsidRPr="00D916B7">
        <w:rPr>
          <w:rFonts w:ascii="Arial" w:hAnsi="Arial" w:cs="Arial"/>
          <w:bCs/>
        </w:rPr>
        <w:t xml:space="preserve">- </w:t>
      </w:r>
      <w:r w:rsidRPr="00D916B7">
        <w:rPr>
          <w:rFonts w:ascii="Arial" w:hAnsi="Arial" w:cs="Arial"/>
          <w:b/>
        </w:rPr>
        <w:t>SUP-JE-107/2016</w:t>
      </w:r>
      <w:r w:rsidRPr="00D916B7">
        <w:rPr>
          <w:rFonts w:ascii="Arial" w:hAnsi="Arial" w:cs="Arial"/>
          <w:bCs/>
        </w:rPr>
        <w:t>, en el que se confirmó el acuerdo impugnado en lo relativo a la falta de competencia del INE para vincular al magistrado presidente del tribunal electoral local y a un magistrado del Tribunal Superior de Justicia de la entidad al procedimiento sancionador, indicando que ello no excluía la posibilidad de dar vista a las autoridades correspondientes.</w:t>
      </w:r>
    </w:p>
    <w:p w14:paraId="444B5E69" w14:textId="77777777" w:rsidR="00D47D95" w:rsidRPr="00D916B7" w:rsidRDefault="00D47D95" w:rsidP="00D70478">
      <w:pPr>
        <w:pStyle w:val="NormalWeb"/>
        <w:spacing w:before="0" w:after="0" w:line="276" w:lineRule="auto"/>
        <w:jc w:val="both"/>
        <w:rPr>
          <w:rFonts w:ascii="Arial" w:hAnsi="Arial" w:cs="Arial"/>
          <w:bCs/>
        </w:rPr>
      </w:pPr>
    </w:p>
    <w:p w14:paraId="11B54242" w14:textId="1A71CE6B" w:rsidR="00D47D95" w:rsidRPr="00D916B7" w:rsidRDefault="00D47D95" w:rsidP="00D70478">
      <w:pPr>
        <w:pStyle w:val="NormalWeb"/>
        <w:spacing w:before="0" w:after="0" w:line="276" w:lineRule="auto"/>
        <w:jc w:val="both"/>
        <w:rPr>
          <w:rFonts w:ascii="Arial" w:hAnsi="Arial" w:cs="Arial"/>
          <w:bCs/>
        </w:rPr>
      </w:pPr>
      <w:r w:rsidRPr="00D916B7">
        <w:rPr>
          <w:rFonts w:ascii="Arial" w:hAnsi="Arial" w:cs="Arial"/>
          <w:bCs/>
        </w:rPr>
        <w:t xml:space="preserve">- </w:t>
      </w:r>
      <w:r w:rsidRPr="00D916B7">
        <w:rPr>
          <w:rFonts w:ascii="Arial" w:hAnsi="Arial" w:cs="Arial"/>
          <w:b/>
        </w:rPr>
        <w:t>SUP-JE-65/2022</w:t>
      </w:r>
      <w:r w:rsidRPr="00D916B7">
        <w:rPr>
          <w:rFonts w:ascii="Arial" w:hAnsi="Arial" w:cs="Arial"/>
          <w:bCs/>
        </w:rPr>
        <w:t xml:space="preserve">, se indicó que el OPLE no tiene competencia para investigar ni el tribunal local para sancionar a un magistrado electoral, por la posible existencia de conductas que vulneren el proceso electoral y la neutralidad que deben observar las y los servidores públicos y, por tanto, el PES no es la vía idónea para conocer de tal acto. </w:t>
      </w:r>
    </w:p>
    <w:p w14:paraId="1B08A468" w14:textId="77777777" w:rsidR="00D47D95" w:rsidRPr="00D916B7" w:rsidRDefault="00D47D95" w:rsidP="00D70478">
      <w:pPr>
        <w:pStyle w:val="NormalWeb"/>
        <w:spacing w:before="0" w:after="0" w:line="276" w:lineRule="auto"/>
        <w:jc w:val="both"/>
        <w:rPr>
          <w:rFonts w:ascii="Arial" w:hAnsi="Arial" w:cs="Arial"/>
          <w:bCs/>
        </w:rPr>
      </w:pPr>
    </w:p>
    <w:p w14:paraId="68DAB471" w14:textId="046A5B4B" w:rsidR="00D47D95" w:rsidRPr="00D916B7" w:rsidRDefault="00D47D95" w:rsidP="00D70478">
      <w:pPr>
        <w:pStyle w:val="NormalWeb"/>
        <w:spacing w:before="0" w:after="0" w:line="276" w:lineRule="auto"/>
        <w:jc w:val="both"/>
        <w:rPr>
          <w:rFonts w:ascii="Arial" w:hAnsi="Arial" w:cs="Arial"/>
          <w:bCs/>
        </w:rPr>
      </w:pPr>
      <w:r w:rsidRPr="00D916B7">
        <w:rPr>
          <w:rFonts w:ascii="Arial" w:hAnsi="Arial" w:cs="Arial"/>
          <w:bCs/>
        </w:rPr>
        <w:t xml:space="preserve">- </w:t>
      </w:r>
      <w:r w:rsidRPr="00D916B7">
        <w:rPr>
          <w:rFonts w:ascii="Arial" w:hAnsi="Arial" w:cs="Arial"/>
          <w:b/>
        </w:rPr>
        <w:t>SUP-JDC-950/2022</w:t>
      </w:r>
      <w:r w:rsidRPr="00D916B7">
        <w:rPr>
          <w:rFonts w:ascii="Arial" w:hAnsi="Arial" w:cs="Arial"/>
          <w:bCs/>
        </w:rPr>
        <w:t>, se determinó que el procedimiento especial sancionador es improcedente para examinar infracciones como la posible violencia política de género respecto de actos de una magistratura electoral local en el ejercicio de sus funciones.</w:t>
      </w:r>
    </w:p>
    <w:p w14:paraId="1A7B2A6C" w14:textId="77777777" w:rsidR="005E7544" w:rsidRPr="00D916B7" w:rsidRDefault="005E7544" w:rsidP="00D70478">
      <w:pPr>
        <w:spacing w:after="0"/>
        <w:jc w:val="both"/>
        <w:rPr>
          <w:rFonts w:ascii="Arial" w:hAnsi="Arial" w:cs="Arial"/>
          <w:sz w:val="24"/>
          <w:szCs w:val="24"/>
        </w:rPr>
      </w:pPr>
    </w:p>
    <w:p w14:paraId="48108B5C" w14:textId="0D5343A8" w:rsidR="00416BAF" w:rsidRPr="00D916B7" w:rsidRDefault="00416BAF" w:rsidP="00D70478">
      <w:pPr>
        <w:spacing w:after="0"/>
        <w:jc w:val="both"/>
        <w:rPr>
          <w:rFonts w:ascii="Arial" w:hAnsi="Arial" w:cs="Arial"/>
          <w:sz w:val="24"/>
          <w:szCs w:val="24"/>
        </w:rPr>
      </w:pPr>
      <w:r w:rsidRPr="00D916B7">
        <w:rPr>
          <w:rFonts w:ascii="Arial" w:hAnsi="Arial" w:cs="Arial"/>
          <w:sz w:val="24"/>
          <w:szCs w:val="24"/>
        </w:rPr>
        <w:t>En consecuencia</w:t>
      </w:r>
      <w:r w:rsidR="00D47D95" w:rsidRPr="00D916B7">
        <w:rPr>
          <w:rFonts w:ascii="Arial" w:hAnsi="Arial" w:cs="Arial"/>
          <w:sz w:val="24"/>
          <w:szCs w:val="24"/>
        </w:rPr>
        <w:t>, y dado que los motivos de disenso resultaron infundados</w:t>
      </w:r>
      <w:r w:rsidRPr="00D916B7">
        <w:rPr>
          <w:rFonts w:ascii="Arial" w:hAnsi="Arial" w:cs="Arial"/>
          <w:sz w:val="24"/>
          <w:szCs w:val="24"/>
        </w:rPr>
        <w:t xml:space="preserve">, se confirma el acuerdo de </w:t>
      </w:r>
      <w:r w:rsidR="005E7544" w:rsidRPr="00D916B7">
        <w:rPr>
          <w:rFonts w:ascii="Arial" w:hAnsi="Arial" w:cs="Arial"/>
          <w:sz w:val="24"/>
          <w:szCs w:val="24"/>
        </w:rPr>
        <w:t>trece</w:t>
      </w:r>
      <w:r w:rsidRPr="00D916B7">
        <w:rPr>
          <w:rFonts w:ascii="Arial" w:hAnsi="Arial" w:cs="Arial"/>
          <w:sz w:val="24"/>
          <w:szCs w:val="24"/>
        </w:rPr>
        <w:t xml:space="preserve"> de </w:t>
      </w:r>
      <w:r w:rsidR="005E7544" w:rsidRPr="00D916B7">
        <w:rPr>
          <w:rFonts w:ascii="Arial" w:hAnsi="Arial" w:cs="Arial"/>
          <w:sz w:val="24"/>
          <w:szCs w:val="24"/>
        </w:rPr>
        <w:t>febrero</w:t>
      </w:r>
      <w:r w:rsidRPr="00D916B7">
        <w:rPr>
          <w:rFonts w:ascii="Arial" w:hAnsi="Arial" w:cs="Arial"/>
          <w:sz w:val="24"/>
          <w:szCs w:val="24"/>
        </w:rPr>
        <w:t xml:space="preserve"> de dos mil veint</w:t>
      </w:r>
      <w:r w:rsidR="005E7544" w:rsidRPr="00D916B7">
        <w:rPr>
          <w:rFonts w:ascii="Arial" w:hAnsi="Arial" w:cs="Arial"/>
          <w:sz w:val="24"/>
          <w:szCs w:val="24"/>
        </w:rPr>
        <w:t>itrés</w:t>
      </w:r>
      <w:r w:rsidRPr="00D916B7">
        <w:rPr>
          <w:rFonts w:ascii="Arial" w:hAnsi="Arial" w:cs="Arial"/>
          <w:sz w:val="24"/>
          <w:szCs w:val="24"/>
        </w:rPr>
        <w:t>, dictado dentro del procedimiento sancionador ordinario PSO-QUEJA-0</w:t>
      </w:r>
      <w:r w:rsidR="005E7544" w:rsidRPr="00D916B7">
        <w:rPr>
          <w:rFonts w:ascii="Arial" w:hAnsi="Arial" w:cs="Arial"/>
          <w:sz w:val="24"/>
          <w:szCs w:val="24"/>
        </w:rPr>
        <w:t>04</w:t>
      </w:r>
      <w:r w:rsidRPr="00D916B7">
        <w:rPr>
          <w:rFonts w:ascii="Arial" w:hAnsi="Arial" w:cs="Arial"/>
          <w:sz w:val="24"/>
          <w:szCs w:val="24"/>
        </w:rPr>
        <w:t>/202</w:t>
      </w:r>
      <w:r w:rsidR="005E7544" w:rsidRPr="00D916B7">
        <w:rPr>
          <w:rFonts w:ascii="Arial" w:hAnsi="Arial" w:cs="Arial"/>
          <w:sz w:val="24"/>
          <w:szCs w:val="24"/>
        </w:rPr>
        <w:t>3</w:t>
      </w:r>
      <w:r w:rsidRPr="00D916B7">
        <w:rPr>
          <w:rFonts w:ascii="Arial" w:hAnsi="Arial" w:cs="Arial"/>
          <w:sz w:val="24"/>
          <w:szCs w:val="24"/>
        </w:rPr>
        <w:t xml:space="preserve">. </w:t>
      </w:r>
    </w:p>
    <w:p w14:paraId="3DBF2F4D" w14:textId="77777777" w:rsidR="00416BAF" w:rsidRPr="00D916B7" w:rsidRDefault="00416BAF" w:rsidP="00D70478">
      <w:pPr>
        <w:spacing w:after="0"/>
        <w:jc w:val="both"/>
        <w:rPr>
          <w:rFonts w:ascii="Arial" w:hAnsi="Arial" w:cs="Arial"/>
          <w:sz w:val="24"/>
          <w:szCs w:val="24"/>
        </w:rPr>
      </w:pPr>
    </w:p>
    <w:p w14:paraId="6A865F82" w14:textId="1A33FA47" w:rsidR="00416BAF" w:rsidRPr="00D916B7" w:rsidRDefault="00416BAF" w:rsidP="00D70478">
      <w:pPr>
        <w:spacing w:after="0"/>
        <w:jc w:val="both"/>
        <w:rPr>
          <w:rFonts w:ascii="Arial" w:hAnsi="Arial" w:cs="Arial"/>
          <w:sz w:val="24"/>
          <w:szCs w:val="24"/>
        </w:rPr>
      </w:pPr>
      <w:r w:rsidRPr="00D916B7">
        <w:rPr>
          <w:rFonts w:ascii="Arial" w:hAnsi="Arial" w:cs="Arial"/>
          <w:sz w:val="24"/>
          <w:szCs w:val="24"/>
        </w:rPr>
        <w:t>Por lo expuesto y fundado este Consejo General,</w:t>
      </w:r>
    </w:p>
    <w:p w14:paraId="571533C2" w14:textId="22E5A619" w:rsidR="00E62AAD" w:rsidRDefault="00E62AAD" w:rsidP="00D70478">
      <w:pPr>
        <w:spacing w:after="0"/>
        <w:jc w:val="both"/>
        <w:rPr>
          <w:rFonts w:ascii="Arial" w:hAnsi="Arial" w:cs="Arial"/>
          <w:sz w:val="24"/>
          <w:szCs w:val="24"/>
        </w:rPr>
      </w:pPr>
    </w:p>
    <w:p w14:paraId="5F21D04B" w14:textId="77777777" w:rsidR="00FA1FFC" w:rsidRPr="00D916B7" w:rsidRDefault="00FA1FFC" w:rsidP="00D70478">
      <w:pPr>
        <w:spacing w:after="0"/>
        <w:jc w:val="both"/>
        <w:rPr>
          <w:rFonts w:ascii="Arial" w:hAnsi="Arial" w:cs="Arial"/>
          <w:sz w:val="24"/>
          <w:szCs w:val="24"/>
        </w:rPr>
      </w:pPr>
    </w:p>
    <w:p w14:paraId="7CC4C230" w14:textId="0DF53D0D" w:rsidR="00416BAF" w:rsidRDefault="00416BAF" w:rsidP="00D70478">
      <w:pPr>
        <w:spacing w:after="0"/>
        <w:jc w:val="center"/>
        <w:rPr>
          <w:rFonts w:ascii="Arial" w:hAnsi="Arial" w:cs="Arial"/>
          <w:b/>
          <w:sz w:val="24"/>
          <w:szCs w:val="24"/>
          <w:lang w:val="pt-BR"/>
        </w:rPr>
      </w:pPr>
      <w:r w:rsidRPr="00D916B7">
        <w:rPr>
          <w:rFonts w:ascii="Arial" w:hAnsi="Arial" w:cs="Arial"/>
          <w:b/>
          <w:sz w:val="24"/>
          <w:szCs w:val="24"/>
          <w:lang w:val="pt-BR"/>
        </w:rPr>
        <w:t>R E S U E L V E</w:t>
      </w:r>
    </w:p>
    <w:p w14:paraId="1433D100" w14:textId="77777777" w:rsidR="00FA1FFC" w:rsidRPr="00D916B7" w:rsidRDefault="00FA1FFC" w:rsidP="00D70478">
      <w:pPr>
        <w:spacing w:after="0"/>
        <w:jc w:val="center"/>
        <w:rPr>
          <w:rFonts w:ascii="Arial" w:hAnsi="Arial" w:cs="Arial"/>
          <w:b/>
          <w:sz w:val="24"/>
          <w:szCs w:val="24"/>
          <w:lang w:val="pt-BR"/>
        </w:rPr>
      </w:pPr>
    </w:p>
    <w:p w14:paraId="66835AD3" w14:textId="636F7BA1" w:rsidR="00416BAF" w:rsidRPr="00D916B7" w:rsidRDefault="00416BAF" w:rsidP="00D70478">
      <w:pPr>
        <w:pStyle w:val="Sinespaciado"/>
        <w:spacing w:line="276" w:lineRule="auto"/>
        <w:jc w:val="both"/>
        <w:rPr>
          <w:rFonts w:ascii="Arial" w:hAnsi="Arial" w:cs="Arial"/>
          <w:iCs/>
          <w:sz w:val="24"/>
          <w:szCs w:val="24"/>
          <w:lang w:val="es-ES"/>
        </w:rPr>
      </w:pPr>
      <w:r w:rsidRPr="00D916B7">
        <w:rPr>
          <w:rFonts w:ascii="Arial" w:hAnsi="Arial" w:cs="Arial"/>
          <w:b/>
          <w:bCs/>
          <w:sz w:val="24"/>
          <w:szCs w:val="24"/>
          <w:lang w:val="pt-BR"/>
        </w:rPr>
        <w:t>Primero.</w:t>
      </w:r>
      <w:r w:rsidRPr="00D916B7">
        <w:rPr>
          <w:rFonts w:ascii="Arial" w:hAnsi="Arial" w:cs="Arial"/>
          <w:sz w:val="24"/>
          <w:szCs w:val="24"/>
          <w:lang w:val="pt-BR"/>
        </w:rPr>
        <w:t xml:space="preserve"> </w:t>
      </w:r>
      <w:r w:rsidRPr="00D916B7">
        <w:rPr>
          <w:rFonts w:ascii="Arial" w:hAnsi="Arial" w:cs="Arial"/>
          <w:iCs/>
          <w:sz w:val="24"/>
          <w:szCs w:val="24"/>
          <w:lang w:val="es-ES"/>
        </w:rPr>
        <w:t xml:space="preserve">Se </w:t>
      </w:r>
      <w:r w:rsidRPr="00D916B7">
        <w:rPr>
          <w:rFonts w:ascii="Arial" w:hAnsi="Arial" w:cs="Arial"/>
          <w:b/>
          <w:iCs/>
          <w:sz w:val="24"/>
          <w:szCs w:val="24"/>
          <w:lang w:val="es-ES"/>
        </w:rPr>
        <w:t xml:space="preserve">confirma </w:t>
      </w:r>
      <w:r w:rsidRPr="00D916B7">
        <w:rPr>
          <w:rFonts w:ascii="Arial" w:hAnsi="Arial" w:cs="Arial"/>
          <w:sz w:val="24"/>
          <w:szCs w:val="24"/>
        </w:rPr>
        <w:t xml:space="preserve">el acuerdo de </w:t>
      </w:r>
      <w:r w:rsidR="005E7544" w:rsidRPr="00D916B7">
        <w:rPr>
          <w:rFonts w:ascii="Arial" w:hAnsi="Arial" w:cs="Arial"/>
          <w:sz w:val="24"/>
          <w:szCs w:val="24"/>
        </w:rPr>
        <w:t>trece</w:t>
      </w:r>
      <w:r w:rsidRPr="00D916B7">
        <w:rPr>
          <w:rFonts w:ascii="Arial" w:hAnsi="Arial" w:cs="Arial"/>
          <w:sz w:val="24"/>
          <w:szCs w:val="24"/>
        </w:rPr>
        <w:t xml:space="preserve"> de </w:t>
      </w:r>
      <w:r w:rsidR="005E7544" w:rsidRPr="00D916B7">
        <w:rPr>
          <w:rFonts w:ascii="Arial" w:hAnsi="Arial" w:cs="Arial"/>
          <w:sz w:val="24"/>
          <w:szCs w:val="24"/>
        </w:rPr>
        <w:t>febrero</w:t>
      </w:r>
      <w:r w:rsidRPr="00D916B7">
        <w:rPr>
          <w:rFonts w:ascii="Arial" w:hAnsi="Arial" w:cs="Arial"/>
          <w:sz w:val="24"/>
          <w:szCs w:val="24"/>
        </w:rPr>
        <w:t xml:space="preserve"> de dos mil veinti</w:t>
      </w:r>
      <w:r w:rsidR="005E7544" w:rsidRPr="00D916B7">
        <w:rPr>
          <w:rFonts w:ascii="Arial" w:hAnsi="Arial" w:cs="Arial"/>
          <w:sz w:val="24"/>
          <w:szCs w:val="24"/>
        </w:rPr>
        <w:t>trés</w:t>
      </w:r>
      <w:r w:rsidRPr="00D916B7">
        <w:rPr>
          <w:rFonts w:ascii="Arial" w:hAnsi="Arial" w:cs="Arial"/>
          <w:sz w:val="24"/>
          <w:szCs w:val="24"/>
        </w:rPr>
        <w:t xml:space="preserve">, dictado dentro del </w:t>
      </w:r>
      <w:r w:rsidR="008A7AD6" w:rsidRPr="00D916B7">
        <w:rPr>
          <w:rFonts w:ascii="Arial" w:hAnsi="Arial" w:cs="Arial"/>
          <w:sz w:val="24"/>
          <w:szCs w:val="24"/>
        </w:rPr>
        <w:t>P</w:t>
      </w:r>
      <w:r w:rsidRPr="00D916B7">
        <w:rPr>
          <w:rFonts w:ascii="Arial" w:hAnsi="Arial" w:cs="Arial"/>
          <w:sz w:val="24"/>
          <w:szCs w:val="24"/>
        </w:rPr>
        <w:t xml:space="preserve">rocedimiento </w:t>
      </w:r>
      <w:r w:rsidR="008A7AD6" w:rsidRPr="00D916B7">
        <w:rPr>
          <w:rFonts w:ascii="Arial" w:hAnsi="Arial" w:cs="Arial"/>
          <w:sz w:val="24"/>
          <w:szCs w:val="24"/>
        </w:rPr>
        <w:t>S</w:t>
      </w:r>
      <w:r w:rsidRPr="00D916B7">
        <w:rPr>
          <w:rFonts w:ascii="Arial" w:hAnsi="Arial" w:cs="Arial"/>
          <w:sz w:val="24"/>
          <w:szCs w:val="24"/>
        </w:rPr>
        <w:t xml:space="preserve">ancionador </w:t>
      </w:r>
      <w:r w:rsidR="008A7AD6" w:rsidRPr="00D916B7">
        <w:rPr>
          <w:rFonts w:ascii="Arial" w:hAnsi="Arial" w:cs="Arial"/>
          <w:sz w:val="24"/>
          <w:szCs w:val="24"/>
        </w:rPr>
        <w:t>O</w:t>
      </w:r>
      <w:r w:rsidRPr="00D916B7">
        <w:rPr>
          <w:rFonts w:ascii="Arial" w:hAnsi="Arial" w:cs="Arial"/>
          <w:sz w:val="24"/>
          <w:szCs w:val="24"/>
        </w:rPr>
        <w:t>rdinario PSO-QUEJA-0</w:t>
      </w:r>
      <w:r w:rsidR="005E7544" w:rsidRPr="00D916B7">
        <w:rPr>
          <w:rFonts w:ascii="Arial" w:hAnsi="Arial" w:cs="Arial"/>
          <w:sz w:val="24"/>
          <w:szCs w:val="24"/>
        </w:rPr>
        <w:t>04</w:t>
      </w:r>
      <w:r w:rsidRPr="00D916B7">
        <w:rPr>
          <w:rFonts w:ascii="Arial" w:hAnsi="Arial" w:cs="Arial"/>
          <w:sz w:val="24"/>
          <w:szCs w:val="24"/>
        </w:rPr>
        <w:t>/202</w:t>
      </w:r>
      <w:r w:rsidR="005E7544" w:rsidRPr="00D916B7">
        <w:rPr>
          <w:rFonts w:ascii="Arial" w:hAnsi="Arial" w:cs="Arial"/>
          <w:sz w:val="24"/>
          <w:szCs w:val="24"/>
        </w:rPr>
        <w:t>3</w:t>
      </w:r>
      <w:r w:rsidRPr="00D916B7">
        <w:rPr>
          <w:rFonts w:ascii="Arial" w:hAnsi="Arial" w:cs="Arial"/>
          <w:sz w:val="24"/>
          <w:szCs w:val="24"/>
        </w:rPr>
        <w:t xml:space="preserve">, en los términos de la presente </w:t>
      </w:r>
      <w:r w:rsidRPr="00D916B7">
        <w:rPr>
          <w:rFonts w:ascii="Arial" w:hAnsi="Arial" w:cs="Arial"/>
          <w:iCs/>
          <w:sz w:val="24"/>
          <w:szCs w:val="24"/>
          <w:lang w:val="es-ES"/>
        </w:rPr>
        <w:t xml:space="preserve">resolución. </w:t>
      </w:r>
    </w:p>
    <w:p w14:paraId="58404B89" w14:textId="77777777" w:rsidR="00416BAF" w:rsidRPr="00D916B7" w:rsidRDefault="00416BAF" w:rsidP="00D70478">
      <w:pPr>
        <w:pStyle w:val="Sinespaciado"/>
        <w:spacing w:line="276" w:lineRule="auto"/>
        <w:jc w:val="both"/>
        <w:rPr>
          <w:rFonts w:ascii="Arial" w:hAnsi="Arial" w:cs="Arial"/>
          <w:iCs/>
          <w:sz w:val="24"/>
          <w:szCs w:val="24"/>
          <w:lang w:val="es-ES"/>
        </w:rPr>
      </w:pPr>
    </w:p>
    <w:p w14:paraId="359E9C6A" w14:textId="77777777" w:rsidR="00416BAF" w:rsidRPr="00D916B7" w:rsidRDefault="00416BAF" w:rsidP="00D70478">
      <w:pPr>
        <w:pStyle w:val="Sinespaciado"/>
        <w:spacing w:line="276" w:lineRule="auto"/>
        <w:jc w:val="both"/>
        <w:rPr>
          <w:rFonts w:ascii="Arial" w:hAnsi="Arial" w:cs="Arial"/>
          <w:sz w:val="24"/>
          <w:szCs w:val="24"/>
        </w:rPr>
      </w:pPr>
      <w:r w:rsidRPr="00D916B7">
        <w:rPr>
          <w:rFonts w:ascii="Arial" w:hAnsi="Arial" w:cs="Arial"/>
          <w:b/>
          <w:bCs/>
          <w:sz w:val="24"/>
          <w:szCs w:val="24"/>
        </w:rPr>
        <w:t>Segundo</w:t>
      </w:r>
      <w:r w:rsidRPr="00D916B7">
        <w:rPr>
          <w:rFonts w:ascii="Arial" w:hAnsi="Arial" w:cs="Arial"/>
          <w:sz w:val="24"/>
          <w:szCs w:val="24"/>
        </w:rPr>
        <w:t xml:space="preserve">. Notifíquese personalmente a la parte promovente. </w:t>
      </w:r>
    </w:p>
    <w:p w14:paraId="20E35997" w14:textId="77777777" w:rsidR="00416BAF" w:rsidRPr="00D916B7" w:rsidRDefault="00416BAF" w:rsidP="00D70478">
      <w:pPr>
        <w:pStyle w:val="Sinespaciado"/>
        <w:spacing w:line="276" w:lineRule="auto"/>
        <w:jc w:val="both"/>
        <w:rPr>
          <w:rFonts w:ascii="Arial" w:hAnsi="Arial" w:cs="Arial"/>
          <w:sz w:val="24"/>
          <w:szCs w:val="24"/>
        </w:rPr>
      </w:pPr>
    </w:p>
    <w:p w14:paraId="4CF0A97B" w14:textId="77777777" w:rsidR="00416BAF" w:rsidRPr="00D916B7" w:rsidRDefault="00416BAF" w:rsidP="00D70478">
      <w:pPr>
        <w:pStyle w:val="Sinespaciado"/>
        <w:spacing w:line="276" w:lineRule="auto"/>
        <w:jc w:val="both"/>
        <w:rPr>
          <w:rFonts w:ascii="Arial" w:hAnsi="Arial" w:cs="Arial"/>
          <w:sz w:val="24"/>
          <w:szCs w:val="24"/>
        </w:rPr>
      </w:pPr>
      <w:r w:rsidRPr="00D916B7">
        <w:rPr>
          <w:rFonts w:ascii="Arial" w:hAnsi="Arial" w:cs="Arial"/>
          <w:b/>
          <w:bCs/>
          <w:sz w:val="24"/>
          <w:szCs w:val="24"/>
        </w:rPr>
        <w:t>Tercero.</w:t>
      </w:r>
      <w:r w:rsidRPr="00D916B7">
        <w:rPr>
          <w:rFonts w:ascii="Arial" w:hAnsi="Arial" w:cs="Arial"/>
          <w:sz w:val="24"/>
          <w:szCs w:val="24"/>
        </w:rPr>
        <w:t xml:space="preserve"> Publíquese la presente resolución en el portal oficial de internet de este organismo.</w:t>
      </w:r>
    </w:p>
    <w:p w14:paraId="47A2B34B" w14:textId="77777777" w:rsidR="00416BAF" w:rsidRPr="00D916B7" w:rsidRDefault="00416BAF" w:rsidP="00D70478">
      <w:pPr>
        <w:pStyle w:val="Sinespaciado"/>
        <w:spacing w:line="276" w:lineRule="auto"/>
        <w:jc w:val="both"/>
        <w:rPr>
          <w:rFonts w:ascii="Arial" w:hAnsi="Arial" w:cs="Arial"/>
          <w:sz w:val="24"/>
          <w:szCs w:val="24"/>
        </w:rPr>
      </w:pPr>
    </w:p>
    <w:p w14:paraId="47C51565" w14:textId="77777777" w:rsidR="00416BAF" w:rsidRPr="00D916B7" w:rsidRDefault="00416BAF" w:rsidP="00D70478">
      <w:pPr>
        <w:pStyle w:val="Sinespaciado"/>
        <w:spacing w:line="276" w:lineRule="auto"/>
        <w:jc w:val="both"/>
        <w:rPr>
          <w:rFonts w:ascii="Arial" w:hAnsi="Arial" w:cs="Arial"/>
          <w:sz w:val="24"/>
          <w:szCs w:val="24"/>
        </w:rPr>
      </w:pPr>
      <w:r w:rsidRPr="00D916B7">
        <w:rPr>
          <w:rFonts w:ascii="Arial" w:hAnsi="Arial" w:cs="Arial"/>
          <w:b/>
          <w:bCs/>
          <w:sz w:val="24"/>
          <w:szCs w:val="24"/>
        </w:rPr>
        <w:t>Cuarto.</w:t>
      </w:r>
      <w:r w:rsidRPr="00D916B7">
        <w:rPr>
          <w:rFonts w:ascii="Arial" w:hAnsi="Arial" w:cs="Arial"/>
          <w:sz w:val="24"/>
          <w:szCs w:val="24"/>
        </w:rPr>
        <w:t xml:space="preserve"> En su oportunidad, archívese el presente expediente como asunto concluido.</w:t>
      </w:r>
    </w:p>
    <w:p w14:paraId="061AF4F4" w14:textId="77777777" w:rsidR="000F3649" w:rsidRPr="00D916B7" w:rsidRDefault="000F3649" w:rsidP="00D70478">
      <w:pPr>
        <w:pStyle w:val="Sinespaciado"/>
        <w:spacing w:line="276" w:lineRule="auto"/>
        <w:jc w:val="both"/>
        <w:rPr>
          <w:rFonts w:ascii="Arial" w:eastAsiaTheme="minorEastAsia" w:hAnsi="Arial" w:cs="Arial"/>
          <w:sz w:val="24"/>
          <w:szCs w:val="24"/>
          <w:highlight w:val="cyan"/>
          <w:lang w:eastAsia="es-MX"/>
        </w:rPr>
      </w:pPr>
    </w:p>
    <w:p w14:paraId="18E645BD" w14:textId="77777777" w:rsidR="00957ECD" w:rsidRPr="00D916B7" w:rsidRDefault="00957ECD" w:rsidP="00D70478">
      <w:pPr>
        <w:pStyle w:val="Sinespaciado"/>
        <w:spacing w:line="276" w:lineRule="auto"/>
        <w:jc w:val="center"/>
        <w:rPr>
          <w:rFonts w:ascii="Arial" w:eastAsiaTheme="minorEastAsia" w:hAnsi="Arial" w:cs="Arial"/>
          <w:b/>
          <w:kern w:val="18"/>
          <w:sz w:val="24"/>
          <w:szCs w:val="24"/>
          <w:lang w:eastAsia="es-MX"/>
        </w:rPr>
      </w:pPr>
    </w:p>
    <w:p w14:paraId="5333F228" w14:textId="42C84AB1" w:rsidR="00E03D2E" w:rsidRPr="00D916B7" w:rsidRDefault="00E03D2E" w:rsidP="00D70478">
      <w:pPr>
        <w:pStyle w:val="Sinespaciado"/>
        <w:spacing w:line="276" w:lineRule="auto"/>
        <w:jc w:val="center"/>
        <w:rPr>
          <w:rFonts w:ascii="Arial" w:eastAsiaTheme="minorEastAsia" w:hAnsi="Arial" w:cs="Arial"/>
          <w:b/>
          <w:kern w:val="18"/>
          <w:sz w:val="24"/>
          <w:szCs w:val="24"/>
          <w:lang w:eastAsia="es-MX"/>
        </w:rPr>
      </w:pPr>
      <w:r w:rsidRPr="00D916B7">
        <w:rPr>
          <w:rFonts w:ascii="Arial" w:eastAsiaTheme="minorEastAsia" w:hAnsi="Arial" w:cs="Arial"/>
          <w:b/>
          <w:kern w:val="18"/>
          <w:sz w:val="24"/>
          <w:szCs w:val="24"/>
          <w:lang w:eastAsia="es-MX"/>
        </w:rPr>
        <w:t xml:space="preserve">Guadalajara, Jalisco, </w:t>
      </w:r>
      <w:r w:rsidR="00F5782B" w:rsidRPr="00D916B7">
        <w:rPr>
          <w:rFonts w:ascii="Arial" w:eastAsiaTheme="minorEastAsia" w:hAnsi="Arial" w:cs="Arial"/>
          <w:b/>
          <w:kern w:val="18"/>
          <w:sz w:val="24"/>
          <w:szCs w:val="24"/>
          <w:lang w:eastAsia="es-MX"/>
        </w:rPr>
        <w:t>28</w:t>
      </w:r>
      <w:r w:rsidRPr="00D916B7">
        <w:rPr>
          <w:rFonts w:ascii="Arial" w:eastAsiaTheme="minorEastAsia" w:hAnsi="Arial" w:cs="Arial"/>
          <w:b/>
          <w:kern w:val="18"/>
          <w:sz w:val="24"/>
          <w:szCs w:val="24"/>
          <w:lang w:eastAsia="es-MX"/>
        </w:rPr>
        <w:t xml:space="preserve"> de</w:t>
      </w:r>
      <w:r w:rsidR="003F7346" w:rsidRPr="00D916B7">
        <w:rPr>
          <w:rFonts w:ascii="Arial" w:eastAsiaTheme="minorEastAsia" w:hAnsi="Arial" w:cs="Arial"/>
          <w:b/>
          <w:kern w:val="18"/>
          <w:sz w:val="24"/>
          <w:szCs w:val="24"/>
          <w:lang w:eastAsia="es-MX"/>
        </w:rPr>
        <w:t xml:space="preserve"> </w:t>
      </w:r>
      <w:r w:rsidR="002F3CBC" w:rsidRPr="00D916B7">
        <w:rPr>
          <w:rFonts w:ascii="Arial" w:eastAsiaTheme="minorEastAsia" w:hAnsi="Arial" w:cs="Arial"/>
          <w:b/>
          <w:kern w:val="18"/>
          <w:sz w:val="24"/>
          <w:szCs w:val="24"/>
          <w:lang w:eastAsia="es-MX"/>
        </w:rPr>
        <w:t>marzo</w:t>
      </w:r>
      <w:r w:rsidRPr="00D916B7">
        <w:rPr>
          <w:rFonts w:ascii="Arial" w:eastAsiaTheme="minorEastAsia" w:hAnsi="Arial" w:cs="Arial"/>
          <w:b/>
          <w:kern w:val="18"/>
          <w:sz w:val="24"/>
          <w:szCs w:val="24"/>
          <w:lang w:eastAsia="es-MX"/>
        </w:rPr>
        <w:t xml:space="preserve"> de 20</w:t>
      </w:r>
      <w:r w:rsidR="003F7346" w:rsidRPr="00D916B7">
        <w:rPr>
          <w:rFonts w:ascii="Arial" w:eastAsiaTheme="minorEastAsia" w:hAnsi="Arial" w:cs="Arial"/>
          <w:b/>
          <w:kern w:val="18"/>
          <w:sz w:val="24"/>
          <w:szCs w:val="24"/>
          <w:lang w:eastAsia="es-MX"/>
        </w:rPr>
        <w:t>2</w:t>
      </w:r>
      <w:r w:rsidR="002F3CBC" w:rsidRPr="00D916B7">
        <w:rPr>
          <w:rFonts w:ascii="Arial" w:eastAsiaTheme="minorEastAsia" w:hAnsi="Arial" w:cs="Arial"/>
          <w:b/>
          <w:kern w:val="18"/>
          <w:sz w:val="24"/>
          <w:szCs w:val="24"/>
          <w:lang w:eastAsia="es-MX"/>
        </w:rPr>
        <w:t>3</w:t>
      </w:r>
    </w:p>
    <w:p w14:paraId="79315FC6" w14:textId="77777777" w:rsidR="00E03D2E" w:rsidRPr="00D916B7" w:rsidRDefault="00E03D2E" w:rsidP="00D70478">
      <w:pPr>
        <w:pStyle w:val="Sinespaciado"/>
        <w:spacing w:line="276" w:lineRule="auto"/>
        <w:jc w:val="both"/>
        <w:rPr>
          <w:rFonts w:ascii="Arial" w:eastAsiaTheme="minorEastAsia" w:hAnsi="Arial" w:cs="Arial"/>
          <w:sz w:val="24"/>
          <w:szCs w:val="24"/>
          <w:lang w:eastAsia="es-MX"/>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20"/>
        <w:gridCol w:w="4418"/>
      </w:tblGrid>
      <w:tr w:rsidR="00A53F51" w:rsidRPr="00D916B7" w14:paraId="6A7E4CCC" w14:textId="77777777" w:rsidTr="00E62AAD">
        <w:tc>
          <w:tcPr>
            <w:tcW w:w="4420" w:type="dxa"/>
          </w:tcPr>
          <w:p w14:paraId="4DE707DC" w14:textId="77777777" w:rsidR="00A53F51" w:rsidRPr="00D916B7" w:rsidRDefault="00A53F51" w:rsidP="00D70478">
            <w:pPr>
              <w:shd w:val="clear" w:color="auto" w:fill="FFFFFF"/>
              <w:spacing w:line="276" w:lineRule="auto"/>
              <w:jc w:val="center"/>
              <w:rPr>
                <w:rFonts w:ascii="Arial" w:eastAsia="Trebuchet MS" w:hAnsi="Arial" w:cs="Arial"/>
                <w:b/>
                <w:sz w:val="24"/>
                <w:szCs w:val="24"/>
              </w:rPr>
            </w:pPr>
          </w:p>
          <w:p w14:paraId="33255724" w14:textId="65A6205A" w:rsidR="00A53F51" w:rsidRPr="00D916B7" w:rsidRDefault="00A53F51" w:rsidP="00D70478">
            <w:pPr>
              <w:shd w:val="clear" w:color="auto" w:fill="FFFFFF"/>
              <w:spacing w:line="276" w:lineRule="auto"/>
              <w:jc w:val="center"/>
              <w:rPr>
                <w:rFonts w:ascii="Arial" w:eastAsia="Trebuchet MS" w:hAnsi="Arial" w:cs="Arial"/>
                <w:b/>
                <w:sz w:val="24"/>
                <w:szCs w:val="24"/>
              </w:rPr>
            </w:pPr>
          </w:p>
          <w:p w14:paraId="31340F30" w14:textId="77777777" w:rsidR="006F66C0" w:rsidRPr="00D916B7" w:rsidRDefault="006F66C0" w:rsidP="00D70478">
            <w:pPr>
              <w:shd w:val="clear" w:color="auto" w:fill="FFFFFF"/>
              <w:spacing w:line="276" w:lineRule="auto"/>
              <w:jc w:val="center"/>
              <w:rPr>
                <w:rFonts w:ascii="Arial" w:eastAsia="Trebuchet MS" w:hAnsi="Arial" w:cs="Arial"/>
                <w:b/>
                <w:sz w:val="24"/>
                <w:szCs w:val="24"/>
              </w:rPr>
            </w:pPr>
          </w:p>
          <w:p w14:paraId="3A8CE036" w14:textId="77777777" w:rsidR="00A53F51" w:rsidRPr="00D916B7" w:rsidRDefault="00A53F51" w:rsidP="00D70478">
            <w:pPr>
              <w:shd w:val="clear" w:color="auto" w:fill="FFFFFF"/>
              <w:spacing w:line="276" w:lineRule="auto"/>
              <w:jc w:val="center"/>
              <w:rPr>
                <w:rFonts w:ascii="Arial" w:eastAsia="Trebuchet MS" w:hAnsi="Arial" w:cs="Arial"/>
                <w:b/>
                <w:sz w:val="24"/>
                <w:szCs w:val="24"/>
              </w:rPr>
            </w:pPr>
            <w:r w:rsidRPr="00D916B7">
              <w:rPr>
                <w:rFonts w:ascii="Arial" w:eastAsia="Trebuchet MS" w:hAnsi="Arial" w:cs="Arial"/>
                <w:b/>
                <w:sz w:val="24"/>
                <w:szCs w:val="24"/>
              </w:rPr>
              <w:t xml:space="preserve">Mtra. Paula Ramírez </w:t>
            </w:r>
            <w:proofErr w:type="spellStart"/>
            <w:r w:rsidRPr="00D916B7">
              <w:rPr>
                <w:rFonts w:ascii="Arial" w:eastAsia="Trebuchet MS" w:hAnsi="Arial" w:cs="Arial"/>
                <w:b/>
                <w:sz w:val="24"/>
                <w:szCs w:val="24"/>
              </w:rPr>
              <w:t>Höhne</w:t>
            </w:r>
            <w:proofErr w:type="spellEnd"/>
          </w:p>
          <w:p w14:paraId="4982532E" w14:textId="03F3618C" w:rsidR="00A53F51" w:rsidRPr="00D916B7" w:rsidRDefault="006F66C0" w:rsidP="00D70478">
            <w:pPr>
              <w:shd w:val="clear" w:color="auto" w:fill="FFFFFF"/>
              <w:spacing w:line="276" w:lineRule="auto"/>
              <w:jc w:val="center"/>
              <w:rPr>
                <w:rFonts w:ascii="Arial" w:eastAsia="Trebuchet MS" w:hAnsi="Arial" w:cs="Arial"/>
                <w:b/>
                <w:sz w:val="24"/>
                <w:szCs w:val="24"/>
              </w:rPr>
            </w:pPr>
            <w:r w:rsidRPr="00D916B7">
              <w:rPr>
                <w:rFonts w:ascii="Arial" w:eastAsia="Trebuchet MS" w:hAnsi="Arial" w:cs="Arial"/>
                <w:b/>
                <w:sz w:val="24"/>
                <w:szCs w:val="24"/>
              </w:rPr>
              <w:t xml:space="preserve">La </w:t>
            </w:r>
            <w:proofErr w:type="gramStart"/>
            <w:r w:rsidR="00A53F51" w:rsidRPr="00D916B7">
              <w:rPr>
                <w:rFonts w:ascii="Arial" w:eastAsia="Trebuchet MS" w:hAnsi="Arial" w:cs="Arial"/>
                <w:b/>
                <w:sz w:val="24"/>
                <w:szCs w:val="24"/>
              </w:rPr>
              <w:t>Consejera Presidenta</w:t>
            </w:r>
            <w:proofErr w:type="gramEnd"/>
          </w:p>
          <w:p w14:paraId="27BDE434" w14:textId="77777777" w:rsidR="00A53F51" w:rsidRPr="00D916B7" w:rsidRDefault="00A53F51" w:rsidP="00D70478">
            <w:pPr>
              <w:spacing w:line="276" w:lineRule="auto"/>
              <w:jc w:val="center"/>
              <w:rPr>
                <w:rFonts w:ascii="Arial" w:eastAsia="Trebuchet MS" w:hAnsi="Arial" w:cs="Arial"/>
                <w:b/>
                <w:sz w:val="24"/>
                <w:szCs w:val="24"/>
              </w:rPr>
            </w:pPr>
          </w:p>
          <w:p w14:paraId="3AE86639" w14:textId="77777777" w:rsidR="00A53F51" w:rsidRPr="00D916B7" w:rsidRDefault="00A53F51" w:rsidP="00D70478">
            <w:pPr>
              <w:spacing w:line="276" w:lineRule="auto"/>
              <w:jc w:val="center"/>
              <w:rPr>
                <w:rFonts w:ascii="Arial" w:eastAsia="Trebuchet MS" w:hAnsi="Arial" w:cs="Arial"/>
                <w:b/>
                <w:sz w:val="24"/>
                <w:szCs w:val="24"/>
              </w:rPr>
            </w:pPr>
          </w:p>
          <w:p w14:paraId="214A05C8" w14:textId="77777777" w:rsidR="00A53F51" w:rsidRDefault="00A53F51" w:rsidP="00D70478">
            <w:pPr>
              <w:spacing w:line="276" w:lineRule="auto"/>
              <w:jc w:val="center"/>
              <w:rPr>
                <w:rFonts w:ascii="Arial" w:eastAsia="Trebuchet MS" w:hAnsi="Arial" w:cs="Arial"/>
                <w:b/>
                <w:sz w:val="24"/>
                <w:szCs w:val="24"/>
              </w:rPr>
            </w:pPr>
          </w:p>
          <w:p w14:paraId="54C95D6D" w14:textId="77777777" w:rsidR="00FA1FFC" w:rsidRDefault="00FA1FFC" w:rsidP="00D70478">
            <w:pPr>
              <w:spacing w:line="276" w:lineRule="auto"/>
              <w:jc w:val="center"/>
              <w:rPr>
                <w:rFonts w:ascii="Arial" w:eastAsia="Trebuchet MS" w:hAnsi="Arial" w:cs="Arial"/>
                <w:b/>
                <w:sz w:val="24"/>
                <w:szCs w:val="24"/>
              </w:rPr>
            </w:pPr>
          </w:p>
          <w:p w14:paraId="68BC8F20" w14:textId="77777777" w:rsidR="00FA1FFC" w:rsidRDefault="00FA1FFC" w:rsidP="00D70478">
            <w:pPr>
              <w:spacing w:line="276" w:lineRule="auto"/>
              <w:jc w:val="center"/>
              <w:rPr>
                <w:rFonts w:ascii="Arial" w:eastAsia="Trebuchet MS" w:hAnsi="Arial" w:cs="Arial"/>
                <w:b/>
                <w:sz w:val="24"/>
                <w:szCs w:val="24"/>
              </w:rPr>
            </w:pPr>
          </w:p>
          <w:p w14:paraId="33626ADC" w14:textId="77777777" w:rsidR="00FA1FFC" w:rsidRDefault="00FA1FFC" w:rsidP="00D70478">
            <w:pPr>
              <w:spacing w:line="276" w:lineRule="auto"/>
              <w:jc w:val="center"/>
              <w:rPr>
                <w:rFonts w:ascii="Arial" w:eastAsia="Trebuchet MS" w:hAnsi="Arial" w:cs="Arial"/>
                <w:b/>
                <w:sz w:val="24"/>
                <w:szCs w:val="24"/>
              </w:rPr>
            </w:pPr>
          </w:p>
          <w:p w14:paraId="5A8DBD5A" w14:textId="77777777" w:rsidR="00FA1FFC" w:rsidRDefault="00FA1FFC" w:rsidP="00D70478">
            <w:pPr>
              <w:spacing w:line="276" w:lineRule="auto"/>
              <w:jc w:val="center"/>
              <w:rPr>
                <w:rFonts w:ascii="Arial" w:eastAsia="Trebuchet MS" w:hAnsi="Arial" w:cs="Arial"/>
                <w:b/>
                <w:sz w:val="24"/>
                <w:szCs w:val="24"/>
              </w:rPr>
            </w:pPr>
          </w:p>
          <w:p w14:paraId="1F9C01AC" w14:textId="77777777" w:rsidR="00FA1FFC" w:rsidRDefault="00FA1FFC" w:rsidP="00D70478">
            <w:pPr>
              <w:spacing w:line="276" w:lineRule="auto"/>
              <w:jc w:val="center"/>
              <w:rPr>
                <w:rFonts w:ascii="Arial" w:eastAsia="Trebuchet MS" w:hAnsi="Arial" w:cs="Arial"/>
                <w:b/>
                <w:sz w:val="24"/>
                <w:szCs w:val="24"/>
              </w:rPr>
            </w:pPr>
          </w:p>
          <w:p w14:paraId="00A66F8E" w14:textId="0AA60F0C" w:rsidR="00FA1FFC" w:rsidRPr="00D916B7" w:rsidRDefault="00FA1FFC" w:rsidP="00D70478">
            <w:pPr>
              <w:spacing w:line="276" w:lineRule="auto"/>
              <w:jc w:val="center"/>
              <w:rPr>
                <w:rFonts w:ascii="Arial" w:eastAsia="Trebuchet MS" w:hAnsi="Arial" w:cs="Arial"/>
                <w:b/>
                <w:sz w:val="24"/>
                <w:szCs w:val="24"/>
              </w:rPr>
            </w:pPr>
          </w:p>
        </w:tc>
        <w:tc>
          <w:tcPr>
            <w:tcW w:w="4418" w:type="dxa"/>
          </w:tcPr>
          <w:p w14:paraId="32894D2C" w14:textId="77777777" w:rsidR="00A53F51" w:rsidRPr="00D916B7" w:rsidRDefault="00A53F51" w:rsidP="00D70478">
            <w:pPr>
              <w:shd w:val="clear" w:color="auto" w:fill="FFFFFF"/>
              <w:spacing w:line="276" w:lineRule="auto"/>
              <w:jc w:val="center"/>
              <w:rPr>
                <w:rFonts w:ascii="Arial" w:eastAsia="Trebuchet MS" w:hAnsi="Arial" w:cs="Arial"/>
                <w:b/>
                <w:sz w:val="24"/>
                <w:szCs w:val="24"/>
              </w:rPr>
            </w:pPr>
          </w:p>
          <w:p w14:paraId="58625BB9" w14:textId="77777777" w:rsidR="00A53F51" w:rsidRPr="00D916B7" w:rsidRDefault="00A53F51" w:rsidP="00D70478">
            <w:pPr>
              <w:shd w:val="clear" w:color="auto" w:fill="FFFFFF"/>
              <w:spacing w:line="276" w:lineRule="auto"/>
              <w:jc w:val="center"/>
              <w:rPr>
                <w:rFonts w:ascii="Arial" w:eastAsia="Trebuchet MS" w:hAnsi="Arial" w:cs="Arial"/>
                <w:b/>
                <w:sz w:val="24"/>
                <w:szCs w:val="24"/>
              </w:rPr>
            </w:pPr>
          </w:p>
          <w:p w14:paraId="5065BC62" w14:textId="77777777" w:rsidR="00A53F51" w:rsidRPr="00D916B7" w:rsidRDefault="00A53F51" w:rsidP="00D70478">
            <w:pPr>
              <w:shd w:val="clear" w:color="auto" w:fill="FFFFFF"/>
              <w:spacing w:line="276" w:lineRule="auto"/>
              <w:jc w:val="center"/>
              <w:rPr>
                <w:rFonts w:ascii="Arial" w:eastAsia="Trebuchet MS" w:hAnsi="Arial" w:cs="Arial"/>
                <w:b/>
                <w:sz w:val="24"/>
                <w:szCs w:val="24"/>
              </w:rPr>
            </w:pPr>
          </w:p>
          <w:p w14:paraId="69F8DA9C" w14:textId="77777777" w:rsidR="00A53F51" w:rsidRPr="00D916B7" w:rsidRDefault="00A53F51" w:rsidP="00D70478">
            <w:pPr>
              <w:shd w:val="clear" w:color="auto" w:fill="FFFFFF"/>
              <w:spacing w:line="276" w:lineRule="auto"/>
              <w:jc w:val="center"/>
              <w:rPr>
                <w:rFonts w:ascii="Arial" w:eastAsia="Trebuchet MS" w:hAnsi="Arial" w:cs="Arial"/>
                <w:b/>
                <w:sz w:val="24"/>
                <w:szCs w:val="24"/>
              </w:rPr>
            </w:pPr>
            <w:r w:rsidRPr="00D916B7">
              <w:rPr>
                <w:rFonts w:ascii="Arial" w:eastAsia="Trebuchet MS" w:hAnsi="Arial" w:cs="Arial"/>
                <w:b/>
                <w:sz w:val="24"/>
                <w:szCs w:val="24"/>
              </w:rPr>
              <w:t>Mtro. Christian Flores Garza</w:t>
            </w:r>
          </w:p>
          <w:p w14:paraId="0AE778CD" w14:textId="77777777" w:rsidR="00A53F51" w:rsidRPr="00D916B7" w:rsidRDefault="00A53F51" w:rsidP="00D70478">
            <w:pPr>
              <w:shd w:val="clear" w:color="auto" w:fill="FFFFFF"/>
              <w:spacing w:line="276" w:lineRule="auto"/>
              <w:jc w:val="center"/>
              <w:rPr>
                <w:rFonts w:ascii="Arial" w:eastAsia="Trebuchet MS" w:hAnsi="Arial" w:cs="Arial"/>
                <w:b/>
                <w:sz w:val="24"/>
                <w:szCs w:val="24"/>
              </w:rPr>
            </w:pPr>
            <w:r w:rsidRPr="00D916B7">
              <w:rPr>
                <w:rFonts w:ascii="Arial" w:eastAsia="Trebuchet MS" w:hAnsi="Arial" w:cs="Arial"/>
                <w:b/>
                <w:sz w:val="24"/>
                <w:szCs w:val="24"/>
              </w:rPr>
              <w:t xml:space="preserve">El </w:t>
            </w:r>
            <w:proofErr w:type="gramStart"/>
            <w:r w:rsidRPr="00D916B7">
              <w:rPr>
                <w:rFonts w:ascii="Arial" w:eastAsia="Trebuchet MS" w:hAnsi="Arial" w:cs="Arial"/>
                <w:b/>
                <w:sz w:val="24"/>
                <w:szCs w:val="24"/>
              </w:rPr>
              <w:t>Secretario Ejecutivo</w:t>
            </w:r>
            <w:proofErr w:type="gramEnd"/>
          </w:p>
          <w:p w14:paraId="6D121A0D" w14:textId="77777777" w:rsidR="00A53F51" w:rsidRPr="00D916B7" w:rsidRDefault="00A53F51" w:rsidP="00D70478">
            <w:pPr>
              <w:spacing w:line="276" w:lineRule="auto"/>
              <w:jc w:val="center"/>
              <w:rPr>
                <w:rFonts w:ascii="Arial" w:eastAsia="Trebuchet MS" w:hAnsi="Arial" w:cs="Arial"/>
                <w:b/>
                <w:sz w:val="24"/>
                <w:szCs w:val="24"/>
              </w:rPr>
            </w:pPr>
          </w:p>
        </w:tc>
      </w:tr>
    </w:tbl>
    <w:p w14:paraId="555EF7BA" w14:textId="10F7C3FA" w:rsidR="00951F06" w:rsidRPr="00951F06" w:rsidRDefault="00951F06" w:rsidP="00951F06">
      <w:pPr>
        <w:pStyle w:val="Sinespaciado"/>
        <w:jc w:val="both"/>
        <w:rPr>
          <w:rFonts w:ascii="Arial" w:hAnsi="Arial" w:cs="Arial"/>
          <w:sz w:val="16"/>
          <w:szCs w:val="16"/>
        </w:rPr>
      </w:pPr>
      <w:r w:rsidRPr="00951F06">
        <w:rPr>
          <w:rFonts w:ascii="Arial" w:hAnsi="Arial" w:cs="Arial"/>
          <w:sz w:val="16"/>
          <w:szCs w:val="16"/>
        </w:rPr>
        <w:t xml:space="preserve">El suscrito secretario ejecutivo del Instituto Electoral y de Participación Ciudadana del Estado de Jalisco, con fundamento en lo establecido por los artículos 143, párrafo 2, fracción XXX del Código Electoral  del Estado de Jalisco y 10, párrafo 1, fracción V y 45, párrafos 1, 3, 5 y 6 del Reglamento de Sesiones del Consejo General de este organismo electoral, hago constar que la presente resolución fue aprobada por unanimidad,  en la </w:t>
      </w:r>
      <w:r w:rsidR="00E1220F">
        <w:rPr>
          <w:rFonts w:ascii="Arial" w:hAnsi="Arial" w:cs="Arial"/>
          <w:sz w:val="16"/>
          <w:szCs w:val="16"/>
        </w:rPr>
        <w:t>segunda</w:t>
      </w:r>
      <w:r w:rsidRPr="00951F06">
        <w:rPr>
          <w:rFonts w:ascii="Arial" w:hAnsi="Arial" w:cs="Arial"/>
          <w:sz w:val="16"/>
          <w:szCs w:val="16"/>
        </w:rPr>
        <w:t xml:space="preserve"> sesión </w:t>
      </w:r>
      <w:r w:rsidR="00E1220F">
        <w:rPr>
          <w:rFonts w:ascii="Arial" w:hAnsi="Arial" w:cs="Arial"/>
          <w:sz w:val="16"/>
          <w:szCs w:val="16"/>
        </w:rPr>
        <w:t>ordinaria</w:t>
      </w:r>
      <w:r w:rsidRPr="00951F06">
        <w:rPr>
          <w:rFonts w:ascii="Arial" w:hAnsi="Arial" w:cs="Arial"/>
          <w:sz w:val="16"/>
          <w:szCs w:val="16"/>
        </w:rPr>
        <w:t xml:space="preserve"> del Consejo General celebrada el </w:t>
      </w:r>
      <w:r w:rsidR="00E1220F">
        <w:rPr>
          <w:rFonts w:ascii="Arial" w:hAnsi="Arial" w:cs="Arial"/>
          <w:sz w:val="16"/>
          <w:szCs w:val="16"/>
        </w:rPr>
        <w:t>veintiocho</w:t>
      </w:r>
      <w:r w:rsidRPr="00951F06">
        <w:rPr>
          <w:rFonts w:ascii="Arial" w:hAnsi="Arial" w:cs="Arial"/>
          <w:sz w:val="16"/>
          <w:szCs w:val="16"/>
        </w:rPr>
        <w:t xml:space="preserve"> de marzo de dos mil veintitrés, con la votación a favor de las y los consejeros electorales Silvia Guadalupe Bustos Vásquez, Zoad Jeanine García González, Miguel Godínez </w:t>
      </w:r>
      <w:proofErr w:type="spellStart"/>
      <w:r w:rsidRPr="00951F06">
        <w:rPr>
          <w:rFonts w:ascii="Arial" w:hAnsi="Arial" w:cs="Arial"/>
          <w:sz w:val="16"/>
          <w:szCs w:val="16"/>
        </w:rPr>
        <w:t>Terríquez</w:t>
      </w:r>
      <w:proofErr w:type="spellEnd"/>
      <w:r w:rsidRPr="00951F06">
        <w:rPr>
          <w:rFonts w:ascii="Arial" w:hAnsi="Arial" w:cs="Arial"/>
          <w:bCs/>
          <w:sz w:val="16"/>
          <w:szCs w:val="16"/>
        </w:rPr>
        <w:t>,</w:t>
      </w:r>
      <w:r w:rsidRPr="00951F06">
        <w:rPr>
          <w:rFonts w:ascii="Arial" w:hAnsi="Arial" w:cs="Arial"/>
          <w:sz w:val="16"/>
          <w:szCs w:val="16"/>
        </w:rPr>
        <w:t xml:space="preserve"> </w:t>
      </w:r>
      <w:r w:rsidRPr="00951F06">
        <w:rPr>
          <w:rFonts w:ascii="Arial" w:hAnsi="Arial" w:cs="Arial"/>
          <w:bCs/>
          <w:sz w:val="16"/>
          <w:szCs w:val="16"/>
        </w:rPr>
        <w:t xml:space="preserve">Moisés Pérez Vega, Brenda Judith Serafín Morfín, Claudia Alejandra Vargas Bautista y </w:t>
      </w:r>
      <w:r w:rsidRPr="00951F06">
        <w:rPr>
          <w:rFonts w:ascii="Arial" w:hAnsi="Arial" w:cs="Arial"/>
          <w:sz w:val="16"/>
          <w:szCs w:val="16"/>
        </w:rPr>
        <w:t xml:space="preserve">Paula Ramírez </w:t>
      </w:r>
      <w:proofErr w:type="spellStart"/>
      <w:r w:rsidRPr="00951F06">
        <w:rPr>
          <w:rFonts w:ascii="Arial" w:hAnsi="Arial" w:cs="Arial"/>
          <w:sz w:val="16"/>
          <w:szCs w:val="16"/>
        </w:rPr>
        <w:t>Höhne</w:t>
      </w:r>
      <w:proofErr w:type="spellEnd"/>
      <w:r w:rsidRPr="00951F06">
        <w:rPr>
          <w:rFonts w:ascii="Arial" w:hAnsi="Arial" w:cs="Arial"/>
          <w:sz w:val="16"/>
          <w:szCs w:val="16"/>
        </w:rPr>
        <w:t>. Doy fe.</w:t>
      </w:r>
    </w:p>
    <w:p w14:paraId="37528C3D" w14:textId="77777777" w:rsidR="00951F06" w:rsidRPr="00951F06" w:rsidRDefault="00951F06" w:rsidP="00951F06">
      <w:pPr>
        <w:jc w:val="both"/>
        <w:rPr>
          <w:rFonts w:ascii="Arial" w:hAnsi="Arial" w:cs="Arial"/>
          <w:sz w:val="16"/>
          <w:szCs w:val="16"/>
        </w:rPr>
      </w:pPr>
    </w:p>
    <w:p w14:paraId="74DAC8B0" w14:textId="77777777" w:rsidR="00951F06" w:rsidRPr="00951F06" w:rsidRDefault="00951F06" w:rsidP="00951F06">
      <w:pPr>
        <w:pStyle w:val="Textoindependiente"/>
        <w:spacing w:after="0"/>
        <w:jc w:val="center"/>
        <w:rPr>
          <w:rFonts w:ascii="Arial" w:hAnsi="Arial" w:cs="Arial"/>
          <w:b/>
          <w:sz w:val="16"/>
          <w:szCs w:val="16"/>
        </w:rPr>
      </w:pPr>
      <w:r w:rsidRPr="00951F06">
        <w:rPr>
          <w:rFonts w:ascii="Arial" w:hAnsi="Arial" w:cs="Arial"/>
          <w:b/>
          <w:sz w:val="16"/>
          <w:szCs w:val="16"/>
        </w:rPr>
        <w:t>Mtro. Christian Flores Garza</w:t>
      </w:r>
    </w:p>
    <w:p w14:paraId="5072A430" w14:textId="0852018D" w:rsidR="00B50E82" w:rsidRPr="00957ECD" w:rsidRDefault="00951F06" w:rsidP="00951F06">
      <w:pPr>
        <w:spacing w:after="0"/>
        <w:jc w:val="center"/>
        <w:rPr>
          <w:rFonts w:ascii="Arial" w:hAnsi="Arial" w:cs="Arial"/>
          <w:bCs/>
          <w:sz w:val="23"/>
          <w:szCs w:val="23"/>
        </w:rPr>
      </w:pPr>
      <w:r w:rsidRPr="00951F06">
        <w:rPr>
          <w:rFonts w:ascii="Arial" w:hAnsi="Arial" w:cs="Arial"/>
          <w:b/>
          <w:sz w:val="16"/>
          <w:szCs w:val="16"/>
        </w:rPr>
        <w:t>El secretario ejecutivo</w:t>
      </w:r>
    </w:p>
    <w:sectPr w:rsidR="00B50E82" w:rsidRPr="00957ECD" w:rsidSect="00FA1FFC">
      <w:headerReference w:type="even" r:id="rId8"/>
      <w:headerReference w:type="default" r:id="rId9"/>
      <w:footerReference w:type="even" r:id="rId10"/>
      <w:footerReference w:type="default" r:id="rId11"/>
      <w:headerReference w:type="first" r:id="rId12"/>
      <w:footerReference w:type="first" r:id="rId13"/>
      <w:pgSz w:w="12240" w:h="15840" w:code="1"/>
      <w:pgMar w:top="2835" w:right="1701" w:bottom="1701" w:left="1701"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EB1B84" w14:textId="77777777" w:rsidR="0077228B" w:rsidRDefault="0077228B" w:rsidP="00E03D2E">
      <w:pPr>
        <w:spacing w:after="0" w:line="240" w:lineRule="auto"/>
      </w:pPr>
      <w:r>
        <w:separator/>
      </w:r>
    </w:p>
  </w:endnote>
  <w:endnote w:type="continuationSeparator" w:id="0">
    <w:p w14:paraId="6AFB0C66" w14:textId="77777777" w:rsidR="0077228B" w:rsidRDefault="0077228B" w:rsidP="00E03D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00"/>
    <w:family w:val="swiss"/>
    <w:pitch w:val="variable"/>
    <w:sig w:usb0="000006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DA9F7F" w14:textId="77777777" w:rsidR="00962DAE" w:rsidRDefault="00962DAE">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CDCFFE" w14:textId="77777777" w:rsidR="008004C0" w:rsidRPr="002E2F6D" w:rsidRDefault="008004C0" w:rsidP="000F3649">
    <w:pPr>
      <w:tabs>
        <w:tab w:val="center" w:pos="4419"/>
        <w:tab w:val="right" w:pos="8838"/>
      </w:tabs>
      <w:ind w:right="49"/>
      <w:jc w:val="right"/>
      <w:rPr>
        <w:rFonts w:ascii="Trebuchet MS" w:hAnsi="Trebuchet MS"/>
        <w:sz w:val="16"/>
      </w:rPr>
    </w:pPr>
  </w:p>
  <w:p w14:paraId="43049C8B" w14:textId="77777777" w:rsidR="00D70478" w:rsidRPr="00D70478" w:rsidRDefault="00D70478" w:rsidP="00D70478">
    <w:pPr>
      <w:tabs>
        <w:tab w:val="center" w:pos="4419"/>
        <w:tab w:val="right" w:pos="8838"/>
      </w:tabs>
      <w:spacing w:after="0" w:line="240" w:lineRule="auto"/>
      <w:jc w:val="center"/>
      <w:rPr>
        <w:rFonts w:ascii="Arial" w:eastAsia="Times New Roman" w:hAnsi="Arial" w:cs="Arial"/>
        <w:bCs/>
        <w:color w:val="A6A6A6"/>
        <w:sz w:val="16"/>
        <w:szCs w:val="16"/>
        <w:lang w:val="es-ES" w:eastAsia="es-MX"/>
      </w:rPr>
    </w:pPr>
    <w:r w:rsidRPr="00D70478">
      <w:rPr>
        <w:rFonts w:ascii="Arial" w:eastAsia="Times New Roman" w:hAnsi="Arial" w:cs="Arial"/>
        <w:bCs/>
        <w:color w:val="A6A6A6"/>
        <w:sz w:val="16"/>
        <w:szCs w:val="16"/>
        <w:lang w:val="es-ES" w:eastAsia="es-MX"/>
      </w:rPr>
      <w:t>Parque de las Estrellas 2764, colonia Jardines del Bosque Centro, Guadalajara, Jalisco, México. C.P.44520</w:t>
    </w:r>
    <w:r w:rsidR="00FA1FFC">
      <w:rPr>
        <w:rFonts w:ascii="Arial" w:eastAsia="Times New Roman" w:hAnsi="Arial" w:cs="Arial"/>
        <w:bCs/>
        <w:noProof/>
        <w:color w:val="A6A6A6"/>
        <w:sz w:val="16"/>
        <w:szCs w:val="16"/>
        <w:lang w:val="es-ES" w:eastAsia="es-MX"/>
      </w:rPr>
      <w:pict w14:anchorId="5D0C7C2C">
        <v:rect id="_x0000_i1025" alt="" style="width:376.95pt;height:.05pt;mso-width-percent:0;mso-height-percent:0;mso-width-percent:0;mso-height-percent:0" o:hrpct="853" o:hralign="center" o:hrstd="t" o:hr="t" fillcolor="#a0a0a0" stroked="f"/>
      </w:pict>
    </w:r>
  </w:p>
  <w:p w14:paraId="22F6644D" w14:textId="77777777" w:rsidR="00D70478" w:rsidRPr="00D70478" w:rsidRDefault="00D70478" w:rsidP="00D70478">
    <w:pPr>
      <w:tabs>
        <w:tab w:val="center" w:pos="4419"/>
        <w:tab w:val="right" w:pos="8838"/>
      </w:tabs>
      <w:spacing w:after="0" w:line="240" w:lineRule="auto"/>
      <w:jc w:val="center"/>
      <w:rPr>
        <w:rFonts w:ascii="Arial" w:eastAsia="Times New Roman" w:hAnsi="Arial" w:cs="Arial"/>
        <w:b/>
        <w:color w:val="7030A0"/>
        <w:sz w:val="16"/>
        <w:szCs w:val="16"/>
        <w:lang w:eastAsia="es-MX"/>
      </w:rPr>
    </w:pPr>
    <w:r w:rsidRPr="00D70478">
      <w:rPr>
        <w:rFonts w:ascii="Arial" w:eastAsia="Times New Roman" w:hAnsi="Arial" w:cs="Arial"/>
        <w:b/>
        <w:bCs/>
        <w:color w:val="7030A0"/>
        <w:sz w:val="16"/>
        <w:szCs w:val="16"/>
        <w:lang w:eastAsia="es-MX"/>
      </w:rPr>
      <w:t>www.iepcjalisco.org.mx</w:t>
    </w:r>
  </w:p>
  <w:p w14:paraId="529ACE0D" w14:textId="7AE2C600" w:rsidR="008004C0" w:rsidRPr="002E2F6D" w:rsidRDefault="00D70478" w:rsidP="00D70478">
    <w:pPr>
      <w:tabs>
        <w:tab w:val="center" w:pos="4419"/>
        <w:tab w:val="right" w:pos="8838"/>
      </w:tabs>
      <w:spacing w:after="0" w:line="240" w:lineRule="auto"/>
      <w:jc w:val="right"/>
      <w:rPr>
        <w:rFonts w:ascii="Trebuchet MS" w:hAnsi="Trebuchet MS"/>
        <w:sz w:val="16"/>
      </w:rPr>
    </w:pPr>
    <w:r w:rsidRPr="00D70478">
      <w:rPr>
        <w:rFonts w:ascii="Arial" w:hAnsi="Arial" w:cs="Arial"/>
        <w:sz w:val="16"/>
        <w:szCs w:val="16"/>
      </w:rPr>
      <w:t xml:space="preserve">Página </w:t>
    </w:r>
    <w:r w:rsidRPr="00D70478">
      <w:rPr>
        <w:rFonts w:ascii="Arial" w:hAnsi="Arial" w:cs="Arial"/>
        <w:sz w:val="16"/>
        <w:szCs w:val="16"/>
      </w:rPr>
      <w:fldChar w:fldCharType="begin"/>
    </w:r>
    <w:r w:rsidRPr="00D70478">
      <w:rPr>
        <w:rFonts w:ascii="Arial" w:hAnsi="Arial" w:cs="Arial"/>
        <w:sz w:val="16"/>
        <w:szCs w:val="16"/>
      </w:rPr>
      <w:instrText xml:space="preserve"> PAGE </w:instrText>
    </w:r>
    <w:r w:rsidRPr="00D70478">
      <w:rPr>
        <w:rFonts w:ascii="Arial" w:hAnsi="Arial" w:cs="Arial"/>
        <w:sz w:val="16"/>
        <w:szCs w:val="16"/>
      </w:rPr>
      <w:fldChar w:fldCharType="separate"/>
    </w:r>
    <w:r w:rsidR="00E0224F">
      <w:rPr>
        <w:rFonts w:ascii="Arial" w:hAnsi="Arial" w:cs="Arial"/>
        <w:noProof/>
        <w:sz w:val="16"/>
        <w:szCs w:val="16"/>
      </w:rPr>
      <w:t>1</w:t>
    </w:r>
    <w:r w:rsidRPr="00D70478">
      <w:rPr>
        <w:rFonts w:ascii="Arial" w:hAnsi="Arial" w:cs="Arial"/>
        <w:sz w:val="16"/>
        <w:szCs w:val="16"/>
      </w:rPr>
      <w:fldChar w:fldCharType="end"/>
    </w:r>
    <w:r w:rsidRPr="00D70478">
      <w:rPr>
        <w:rFonts w:ascii="Arial" w:hAnsi="Arial" w:cs="Arial"/>
        <w:sz w:val="16"/>
        <w:szCs w:val="16"/>
      </w:rPr>
      <w:t xml:space="preserve"> de </w:t>
    </w:r>
    <w:r w:rsidRPr="00D70478">
      <w:rPr>
        <w:rFonts w:ascii="Arial" w:hAnsi="Arial" w:cs="Arial"/>
        <w:sz w:val="16"/>
        <w:szCs w:val="16"/>
      </w:rPr>
      <w:fldChar w:fldCharType="begin"/>
    </w:r>
    <w:r w:rsidRPr="00D70478">
      <w:rPr>
        <w:rFonts w:ascii="Arial" w:hAnsi="Arial" w:cs="Arial"/>
        <w:sz w:val="16"/>
        <w:szCs w:val="16"/>
      </w:rPr>
      <w:instrText xml:space="preserve"> NUMPAGES </w:instrText>
    </w:r>
    <w:r w:rsidRPr="00D70478">
      <w:rPr>
        <w:rFonts w:ascii="Arial" w:hAnsi="Arial" w:cs="Arial"/>
        <w:sz w:val="16"/>
        <w:szCs w:val="16"/>
      </w:rPr>
      <w:fldChar w:fldCharType="separate"/>
    </w:r>
    <w:r w:rsidR="00E0224F">
      <w:rPr>
        <w:rFonts w:ascii="Arial" w:hAnsi="Arial" w:cs="Arial"/>
        <w:noProof/>
        <w:sz w:val="16"/>
        <w:szCs w:val="16"/>
      </w:rPr>
      <w:t>8</w:t>
    </w:r>
    <w:r w:rsidRPr="00D70478">
      <w:rPr>
        <w:rFonts w:ascii="Arial" w:hAnsi="Arial" w:cs="Arial"/>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764042" w14:textId="77777777" w:rsidR="00962DAE" w:rsidRDefault="00962DA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33B1C4" w14:textId="77777777" w:rsidR="0077228B" w:rsidRDefault="0077228B" w:rsidP="00E03D2E">
      <w:pPr>
        <w:spacing w:after="0" w:line="240" w:lineRule="auto"/>
      </w:pPr>
      <w:r>
        <w:separator/>
      </w:r>
    </w:p>
  </w:footnote>
  <w:footnote w:type="continuationSeparator" w:id="0">
    <w:p w14:paraId="6F8B353E" w14:textId="77777777" w:rsidR="0077228B" w:rsidRDefault="0077228B" w:rsidP="00E03D2E">
      <w:pPr>
        <w:spacing w:after="0" w:line="240" w:lineRule="auto"/>
      </w:pPr>
      <w:r>
        <w:continuationSeparator/>
      </w:r>
    </w:p>
  </w:footnote>
  <w:footnote w:id="1">
    <w:p w14:paraId="68F5E9CC" w14:textId="67F2DBB9" w:rsidR="008004C0" w:rsidRPr="00326AC0" w:rsidRDefault="008004C0" w:rsidP="00687C81">
      <w:pPr>
        <w:pStyle w:val="Textonotapie"/>
        <w:jc w:val="both"/>
        <w:rPr>
          <w:rFonts w:ascii="Arial" w:hAnsi="Arial" w:cs="Arial"/>
          <w:sz w:val="16"/>
          <w:szCs w:val="16"/>
        </w:rPr>
      </w:pPr>
      <w:r w:rsidRPr="00326AC0">
        <w:rPr>
          <w:rStyle w:val="Refdenotaalpie"/>
          <w:rFonts w:ascii="Arial" w:hAnsi="Arial" w:cs="Arial"/>
          <w:sz w:val="16"/>
          <w:szCs w:val="16"/>
        </w:rPr>
        <w:footnoteRef/>
      </w:r>
      <w:r w:rsidRPr="00326AC0">
        <w:rPr>
          <w:rFonts w:ascii="Arial" w:hAnsi="Arial" w:cs="Arial"/>
          <w:sz w:val="16"/>
          <w:szCs w:val="16"/>
        </w:rPr>
        <w:t xml:space="preserve"> En adelante todas las fechas corresponden al dos mil veinti</w:t>
      </w:r>
      <w:r w:rsidR="00CB7360" w:rsidRPr="00326AC0">
        <w:rPr>
          <w:rFonts w:ascii="Arial" w:hAnsi="Arial" w:cs="Arial"/>
          <w:sz w:val="16"/>
          <w:szCs w:val="16"/>
        </w:rPr>
        <w:t>trés</w:t>
      </w:r>
      <w:r w:rsidRPr="00326AC0">
        <w:rPr>
          <w:rFonts w:ascii="Arial" w:hAnsi="Arial" w:cs="Arial"/>
          <w:sz w:val="16"/>
          <w:szCs w:val="16"/>
        </w:rPr>
        <w:t xml:space="preserve"> salvo indicación en contrario. </w:t>
      </w:r>
    </w:p>
  </w:footnote>
  <w:footnote w:id="2">
    <w:p w14:paraId="3D172BC6" w14:textId="77777777" w:rsidR="008004C0" w:rsidRPr="00687C81" w:rsidRDefault="008004C0" w:rsidP="00687C81">
      <w:pPr>
        <w:pStyle w:val="Textonotapie"/>
        <w:jc w:val="both"/>
        <w:rPr>
          <w:rFonts w:ascii="Trebuchet MS" w:hAnsi="Trebuchet MS"/>
        </w:rPr>
      </w:pPr>
      <w:r w:rsidRPr="00326AC0">
        <w:rPr>
          <w:rStyle w:val="Refdenotaalpie"/>
          <w:rFonts w:ascii="Arial" w:hAnsi="Arial" w:cs="Arial"/>
          <w:sz w:val="16"/>
          <w:szCs w:val="16"/>
        </w:rPr>
        <w:footnoteRef/>
      </w:r>
      <w:r w:rsidRPr="00326AC0">
        <w:rPr>
          <w:rFonts w:ascii="Arial" w:hAnsi="Arial" w:cs="Arial"/>
          <w:sz w:val="16"/>
          <w:szCs w:val="16"/>
        </w:rPr>
        <w:t xml:space="preserve"> E</w:t>
      </w:r>
      <w:r w:rsidRPr="00326AC0">
        <w:rPr>
          <w:rFonts w:ascii="Arial" w:hAnsi="Arial" w:cs="Arial"/>
          <w:bCs/>
          <w:sz w:val="16"/>
          <w:szCs w:val="16"/>
        </w:rPr>
        <w:t>n lo sucesivo Instituto Electoral.</w:t>
      </w:r>
    </w:p>
  </w:footnote>
  <w:footnote w:id="3">
    <w:p w14:paraId="3CF71DA7" w14:textId="77777777" w:rsidR="008004C0" w:rsidRPr="00326AC0" w:rsidRDefault="008004C0" w:rsidP="006073FD">
      <w:pPr>
        <w:pStyle w:val="Sinespaciado"/>
        <w:spacing w:line="276" w:lineRule="auto"/>
        <w:jc w:val="both"/>
        <w:rPr>
          <w:rFonts w:ascii="Arial" w:eastAsiaTheme="minorEastAsia" w:hAnsi="Arial" w:cs="Arial"/>
          <w:sz w:val="16"/>
          <w:szCs w:val="16"/>
          <w:lang w:eastAsia="es-MX"/>
        </w:rPr>
      </w:pPr>
      <w:r w:rsidRPr="00326AC0">
        <w:rPr>
          <w:rStyle w:val="Refdenotaalpie"/>
          <w:rFonts w:ascii="Arial" w:hAnsi="Arial" w:cs="Arial"/>
          <w:sz w:val="16"/>
          <w:szCs w:val="16"/>
        </w:rPr>
        <w:footnoteRef/>
      </w:r>
      <w:r w:rsidRPr="00326AC0">
        <w:rPr>
          <w:rFonts w:ascii="Arial" w:hAnsi="Arial" w:cs="Arial"/>
          <w:sz w:val="16"/>
          <w:szCs w:val="16"/>
        </w:rPr>
        <w:t xml:space="preserve"> De </w:t>
      </w:r>
      <w:r w:rsidRPr="00326AC0">
        <w:rPr>
          <w:rFonts w:ascii="Arial" w:eastAsiaTheme="minorEastAsia" w:hAnsi="Arial" w:cs="Arial"/>
          <w:bCs/>
          <w:sz w:val="16"/>
          <w:szCs w:val="16"/>
          <w:lang w:eastAsia="es-MX"/>
        </w:rPr>
        <w:t>conformidad con el artículo 12 fracción VIII, inciso m) de la Constitución Política del Estado de Jalisco y 580, párrafo 1, fracción I</w:t>
      </w:r>
      <w:r w:rsidRPr="00326AC0">
        <w:rPr>
          <w:rFonts w:ascii="Arial" w:eastAsiaTheme="minorEastAsia" w:hAnsi="Arial" w:cs="Arial"/>
          <w:sz w:val="16"/>
          <w:szCs w:val="16"/>
          <w:lang w:eastAsia="es-MX"/>
        </w:rPr>
        <w:t xml:space="preserve"> del Código Electoral del Estado de Jalisco.</w:t>
      </w:r>
    </w:p>
    <w:p w14:paraId="6F395786" w14:textId="77777777" w:rsidR="008004C0" w:rsidRDefault="008004C0">
      <w:pPr>
        <w:pStyle w:val="Textonotapie"/>
      </w:pPr>
    </w:p>
  </w:footnote>
  <w:footnote w:id="4">
    <w:p w14:paraId="038E4003" w14:textId="77777777" w:rsidR="00416BAF" w:rsidRPr="00326AC0" w:rsidRDefault="00416BAF" w:rsidP="00326AC0">
      <w:pPr>
        <w:pStyle w:val="Textonotapie"/>
        <w:jc w:val="both"/>
        <w:rPr>
          <w:rFonts w:ascii="Arial" w:hAnsi="Arial" w:cs="Arial"/>
          <w:sz w:val="16"/>
          <w:szCs w:val="16"/>
          <w:lang w:val="es-MX"/>
        </w:rPr>
      </w:pPr>
      <w:r w:rsidRPr="00326AC0">
        <w:rPr>
          <w:rStyle w:val="Refdenotaalpie"/>
          <w:rFonts w:ascii="Arial" w:eastAsia="Calibri" w:hAnsi="Arial" w:cs="Arial"/>
          <w:sz w:val="16"/>
          <w:szCs w:val="16"/>
        </w:rPr>
        <w:footnoteRef/>
      </w:r>
      <w:r w:rsidRPr="00326AC0">
        <w:rPr>
          <w:rFonts w:ascii="Arial" w:hAnsi="Arial" w:cs="Arial"/>
          <w:sz w:val="16"/>
          <w:szCs w:val="16"/>
        </w:rPr>
        <w:t xml:space="preserve"> </w:t>
      </w:r>
      <w:r w:rsidRPr="00326AC0">
        <w:rPr>
          <w:rFonts w:ascii="Arial" w:hAnsi="Arial" w:cs="Arial"/>
          <w:sz w:val="16"/>
          <w:szCs w:val="16"/>
          <w:lang w:val="es-MX"/>
        </w:rPr>
        <w:t>En adelante Sala Superior.</w:t>
      </w:r>
    </w:p>
  </w:footnote>
  <w:footnote w:id="5">
    <w:p w14:paraId="033A57E3" w14:textId="77777777" w:rsidR="00416BAF" w:rsidRPr="005B3B64" w:rsidRDefault="00416BAF" w:rsidP="00326AC0">
      <w:pPr>
        <w:pStyle w:val="Textonotapie"/>
        <w:jc w:val="both"/>
        <w:rPr>
          <w:rFonts w:ascii="Century Gothic" w:hAnsi="Century Gothic"/>
          <w:sz w:val="18"/>
          <w:szCs w:val="18"/>
          <w:lang w:val="es-MX"/>
        </w:rPr>
      </w:pPr>
      <w:r w:rsidRPr="00326AC0">
        <w:rPr>
          <w:rStyle w:val="Refdenotaalpie"/>
          <w:rFonts w:ascii="Arial" w:eastAsia="Calibri" w:hAnsi="Arial" w:cs="Arial"/>
          <w:sz w:val="16"/>
          <w:szCs w:val="16"/>
        </w:rPr>
        <w:footnoteRef/>
      </w:r>
      <w:r w:rsidRPr="00326AC0">
        <w:rPr>
          <w:rFonts w:ascii="Arial" w:hAnsi="Arial" w:cs="Arial"/>
          <w:sz w:val="16"/>
          <w:szCs w:val="16"/>
        </w:rPr>
        <w:t xml:space="preserve"> Visibles en la Compilación 1997-2013 de Jurisprudencia y Tesis en Materia Electoral, Volumen 1, páginas 122, 123, 124 y 125.</w:t>
      </w:r>
    </w:p>
  </w:footnote>
  <w:footnote w:id="6">
    <w:p w14:paraId="0F242221" w14:textId="4ACCC988" w:rsidR="000B7CF4" w:rsidRPr="00326AC0" w:rsidRDefault="000B7CF4">
      <w:pPr>
        <w:pStyle w:val="Textonotapie"/>
        <w:rPr>
          <w:rFonts w:ascii="Arial" w:hAnsi="Arial" w:cs="Arial"/>
        </w:rPr>
      </w:pPr>
      <w:r w:rsidRPr="00326AC0">
        <w:rPr>
          <w:rStyle w:val="Refdenotaalpie"/>
          <w:rFonts w:ascii="Arial" w:hAnsi="Arial" w:cs="Arial"/>
        </w:rPr>
        <w:footnoteRef/>
      </w:r>
      <w:r w:rsidRPr="00326AC0">
        <w:rPr>
          <w:rFonts w:ascii="Arial" w:hAnsi="Arial" w:cs="Arial"/>
        </w:rPr>
        <w:t xml:space="preserve"> SUP-JE-65/2022.</w:t>
      </w:r>
    </w:p>
  </w:footnote>
  <w:footnote w:id="7">
    <w:p w14:paraId="4317F886" w14:textId="34F85349" w:rsidR="00302EFB" w:rsidRPr="00326AC0" w:rsidRDefault="00302EFB">
      <w:pPr>
        <w:pStyle w:val="Textonotapie"/>
        <w:rPr>
          <w:rFonts w:ascii="Arial" w:hAnsi="Arial" w:cs="Arial"/>
          <w:sz w:val="16"/>
          <w:szCs w:val="16"/>
        </w:rPr>
      </w:pPr>
      <w:r w:rsidRPr="00326AC0">
        <w:rPr>
          <w:rStyle w:val="Refdenotaalpie"/>
          <w:rFonts w:ascii="Arial" w:hAnsi="Arial" w:cs="Arial"/>
          <w:sz w:val="16"/>
          <w:szCs w:val="16"/>
        </w:rPr>
        <w:footnoteRef/>
      </w:r>
      <w:r w:rsidRPr="00326AC0">
        <w:rPr>
          <w:rFonts w:ascii="Arial" w:hAnsi="Arial" w:cs="Arial"/>
          <w:sz w:val="16"/>
          <w:szCs w:val="16"/>
        </w:rPr>
        <w:t xml:space="preserve"> SUP-JDC-0950/2022</w:t>
      </w:r>
      <w:r w:rsidR="00FE38E4" w:rsidRPr="00326AC0">
        <w:rPr>
          <w:rFonts w:ascii="Arial" w:hAnsi="Arial" w:cs="Arial"/>
          <w:sz w:val="16"/>
          <w:szCs w:val="16"/>
        </w:rPr>
        <w:t>,</w:t>
      </w:r>
      <w:r w:rsidRPr="00326AC0">
        <w:rPr>
          <w:rFonts w:ascii="Arial" w:hAnsi="Arial" w:cs="Arial"/>
          <w:sz w:val="16"/>
          <w:szCs w:val="16"/>
        </w:rPr>
        <w:t xml:space="preserve"> SUP-JE-065/2022</w:t>
      </w:r>
      <w:r w:rsidR="00FE38E4" w:rsidRPr="00326AC0">
        <w:rPr>
          <w:rFonts w:ascii="Arial" w:hAnsi="Arial" w:cs="Arial"/>
          <w:sz w:val="16"/>
          <w:szCs w:val="16"/>
        </w:rPr>
        <w:t xml:space="preserve"> y </w:t>
      </w:r>
      <w:r w:rsidR="00FE38E4" w:rsidRPr="00326AC0">
        <w:rPr>
          <w:rFonts w:ascii="Arial" w:eastAsiaTheme="minorHAnsi" w:hAnsi="Arial" w:cs="Arial"/>
          <w:sz w:val="16"/>
          <w:szCs w:val="16"/>
          <w:lang w:eastAsia="en-US"/>
        </w:rPr>
        <w:t>SUP-JE-107/2016</w:t>
      </w:r>
      <w:r w:rsidRPr="00326AC0">
        <w:rPr>
          <w:rFonts w:ascii="Arial" w:hAnsi="Arial" w:cs="Arial"/>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1FF75C" w14:textId="04454AA8" w:rsidR="00962DAE" w:rsidRDefault="00962DAE">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35"/>
      <w:gridCol w:w="4403"/>
    </w:tblGrid>
    <w:tr w:rsidR="00D70478" w14:paraId="45AF8E23" w14:textId="77777777" w:rsidTr="00D70478">
      <w:trPr>
        <w:trHeight w:val="1266"/>
      </w:trPr>
      <w:tc>
        <w:tcPr>
          <w:tcW w:w="4489" w:type="dxa"/>
        </w:tcPr>
        <w:p w14:paraId="606D6468" w14:textId="4284450B" w:rsidR="00D70478" w:rsidRDefault="00D70478" w:rsidP="00E64955">
          <w:pPr>
            <w:pStyle w:val="Encabezado"/>
            <w:rPr>
              <w:rFonts w:ascii="Trebuchet MS" w:hAnsi="Trebuchet MS"/>
              <w:lang w:val="es-MX"/>
            </w:rPr>
          </w:pPr>
          <w:r>
            <w:rPr>
              <w:rFonts w:eastAsiaTheme="minorEastAsia"/>
              <w:noProof/>
              <w:sz w:val="24"/>
              <w:szCs w:val="24"/>
              <w:lang w:val="es-MX" w:eastAsia="es-MX"/>
            </w:rPr>
            <w:drawing>
              <wp:inline distT="0" distB="0" distL="0" distR="0" wp14:anchorId="67599FBE" wp14:editId="745239AD">
                <wp:extent cx="1390015" cy="780415"/>
                <wp:effectExtent l="0" t="0" r="635" b="63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0015" cy="780415"/>
                        </a:xfrm>
                        <a:prstGeom prst="rect">
                          <a:avLst/>
                        </a:prstGeom>
                        <a:noFill/>
                      </pic:spPr>
                    </pic:pic>
                  </a:graphicData>
                </a:graphic>
              </wp:inline>
            </w:drawing>
          </w:r>
        </w:p>
      </w:tc>
      <w:tc>
        <w:tcPr>
          <w:tcW w:w="4489" w:type="dxa"/>
        </w:tcPr>
        <w:p w14:paraId="7D8F6BE1" w14:textId="77777777" w:rsidR="00D70478" w:rsidRDefault="00D70478" w:rsidP="00D70478">
          <w:pPr>
            <w:pStyle w:val="Encabezado"/>
            <w:jc w:val="right"/>
            <w:rPr>
              <w:b/>
              <w:sz w:val="24"/>
              <w:szCs w:val="24"/>
              <w:lang w:val="es-MX"/>
            </w:rPr>
          </w:pPr>
        </w:p>
        <w:p w14:paraId="34300CDB" w14:textId="77777777" w:rsidR="00D70478" w:rsidRDefault="00D70478" w:rsidP="00D70478">
          <w:pPr>
            <w:pStyle w:val="Encabezado"/>
            <w:jc w:val="right"/>
            <w:rPr>
              <w:b/>
              <w:sz w:val="24"/>
              <w:szCs w:val="24"/>
              <w:lang w:val="es-MX"/>
            </w:rPr>
          </w:pPr>
        </w:p>
        <w:p w14:paraId="53E7BD53" w14:textId="022A84AA" w:rsidR="00D70478" w:rsidRPr="00D70478" w:rsidRDefault="00D70478" w:rsidP="00D70478">
          <w:pPr>
            <w:pStyle w:val="Encabezado"/>
            <w:jc w:val="right"/>
            <w:rPr>
              <w:b/>
              <w:sz w:val="24"/>
              <w:szCs w:val="24"/>
              <w:lang w:val="es-MX"/>
            </w:rPr>
          </w:pPr>
          <w:r w:rsidRPr="00D70478">
            <w:rPr>
              <w:b/>
              <w:sz w:val="24"/>
              <w:szCs w:val="24"/>
              <w:lang w:val="es-MX"/>
            </w:rPr>
            <w:t xml:space="preserve">REV-001/2023 </w:t>
          </w:r>
        </w:p>
        <w:p w14:paraId="5FB1DE71" w14:textId="77777777" w:rsidR="00D70478" w:rsidRDefault="00D70478" w:rsidP="00E64955">
          <w:pPr>
            <w:pStyle w:val="Encabezado"/>
            <w:rPr>
              <w:rFonts w:ascii="Trebuchet MS" w:hAnsi="Trebuchet MS"/>
              <w:lang w:val="es-MX"/>
            </w:rPr>
          </w:pPr>
        </w:p>
      </w:tc>
    </w:tr>
  </w:tbl>
  <w:p w14:paraId="4BF14B09" w14:textId="714DD29D" w:rsidR="008004C0" w:rsidRDefault="008004C0" w:rsidP="00E64955">
    <w:pPr>
      <w:pStyle w:val="Encabezado"/>
      <w:rPr>
        <w:rFonts w:ascii="Trebuchet MS" w:hAnsi="Trebuchet MS"/>
        <w:lang w:val="es-MX"/>
      </w:rPr>
    </w:pPr>
  </w:p>
  <w:p w14:paraId="44C6AC08" w14:textId="77777777" w:rsidR="008004C0" w:rsidRPr="00E64955" w:rsidRDefault="008004C0" w:rsidP="00E64955">
    <w:pPr>
      <w:pStyle w:val="Encabezado"/>
      <w:jc w:val="right"/>
      <w:rPr>
        <w:rFonts w:ascii="Trebuchet MS" w:hAnsi="Trebuchet MS"/>
        <w:b/>
        <w:sz w:val="24"/>
        <w:szCs w:val="24"/>
        <w:lang w:val="es-MX"/>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F9FCC2" w14:textId="044C7586" w:rsidR="00962DAE" w:rsidRDefault="00962DA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D785A"/>
    <w:multiLevelType w:val="hybridMultilevel"/>
    <w:tmpl w:val="FE023BAA"/>
    <w:lvl w:ilvl="0" w:tplc="66066276">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16823D2"/>
    <w:multiLevelType w:val="hybridMultilevel"/>
    <w:tmpl w:val="C59EEC4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2A658CA"/>
    <w:multiLevelType w:val="hybridMultilevel"/>
    <w:tmpl w:val="030ADE3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4AF5329"/>
    <w:multiLevelType w:val="hybridMultilevel"/>
    <w:tmpl w:val="F3E2B6FC"/>
    <w:lvl w:ilvl="0" w:tplc="9A66E854">
      <w:start w:val="1"/>
      <w:numFmt w:val="upperLetter"/>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 w15:restartNumberingAfterBreak="0">
    <w:nsid w:val="05030062"/>
    <w:multiLevelType w:val="hybridMultilevel"/>
    <w:tmpl w:val="3F6C6BAC"/>
    <w:lvl w:ilvl="0" w:tplc="055AD1AC">
      <w:start w:val="1"/>
      <w:numFmt w:val="decimal"/>
      <w:lvlText w:val="%1."/>
      <w:lvlJc w:val="left"/>
      <w:pPr>
        <w:ind w:left="331" w:hanging="360"/>
      </w:pPr>
      <w:rPr>
        <w:rFonts w:hint="default"/>
      </w:rPr>
    </w:lvl>
    <w:lvl w:ilvl="1" w:tplc="080A0019" w:tentative="1">
      <w:start w:val="1"/>
      <w:numFmt w:val="lowerLetter"/>
      <w:lvlText w:val="%2."/>
      <w:lvlJc w:val="left"/>
      <w:pPr>
        <w:ind w:left="1051" w:hanging="360"/>
      </w:pPr>
    </w:lvl>
    <w:lvl w:ilvl="2" w:tplc="080A001B" w:tentative="1">
      <w:start w:val="1"/>
      <w:numFmt w:val="lowerRoman"/>
      <w:lvlText w:val="%3."/>
      <w:lvlJc w:val="right"/>
      <w:pPr>
        <w:ind w:left="1771" w:hanging="180"/>
      </w:pPr>
    </w:lvl>
    <w:lvl w:ilvl="3" w:tplc="080A000F" w:tentative="1">
      <w:start w:val="1"/>
      <w:numFmt w:val="decimal"/>
      <w:lvlText w:val="%4."/>
      <w:lvlJc w:val="left"/>
      <w:pPr>
        <w:ind w:left="2491" w:hanging="360"/>
      </w:pPr>
    </w:lvl>
    <w:lvl w:ilvl="4" w:tplc="080A0019" w:tentative="1">
      <w:start w:val="1"/>
      <w:numFmt w:val="lowerLetter"/>
      <w:lvlText w:val="%5."/>
      <w:lvlJc w:val="left"/>
      <w:pPr>
        <w:ind w:left="3211" w:hanging="360"/>
      </w:pPr>
    </w:lvl>
    <w:lvl w:ilvl="5" w:tplc="080A001B" w:tentative="1">
      <w:start w:val="1"/>
      <w:numFmt w:val="lowerRoman"/>
      <w:lvlText w:val="%6."/>
      <w:lvlJc w:val="right"/>
      <w:pPr>
        <w:ind w:left="3931" w:hanging="180"/>
      </w:pPr>
    </w:lvl>
    <w:lvl w:ilvl="6" w:tplc="080A000F" w:tentative="1">
      <w:start w:val="1"/>
      <w:numFmt w:val="decimal"/>
      <w:lvlText w:val="%7."/>
      <w:lvlJc w:val="left"/>
      <w:pPr>
        <w:ind w:left="4651" w:hanging="360"/>
      </w:pPr>
    </w:lvl>
    <w:lvl w:ilvl="7" w:tplc="080A0019" w:tentative="1">
      <w:start w:val="1"/>
      <w:numFmt w:val="lowerLetter"/>
      <w:lvlText w:val="%8."/>
      <w:lvlJc w:val="left"/>
      <w:pPr>
        <w:ind w:left="5371" w:hanging="360"/>
      </w:pPr>
    </w:lvl>
    <w:lvl w:ilvl="8" w:tplc="080A001B" w:tentative="1">
      <w:start w:val="1"/>
      <w:numFmt w:val="lowerRoman"/>
      <w:lvlText w:val="%9."/>
      <w:lvlJc w:val="right"/>
      <w:pPr>
        <w:ind w:left="6091" w:hanging="180"/>
      </w:pPr>
    </w:lvl>
  </w:abstractNum>
  <w:abstractNum w:abstractNumId="5" w15:restartNumberingAfterBreak="0">
    <w:nsid w:val="1BB05825"/>
    <w:multiLevelType w:val="hybridMultilevel"/>
    <w:tmpl w:val="030ADE3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24F7B7D"/>
    <w:multiLevelType w:val="hybridMultilevel"/>
    <w:tmpl w:val="83F86A8C"/>
    <w:lvl w:ilvl="0" w:tplc="6F487E66">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6634D58"/>
    <w:multiLevelType w:val="hybridMultilevel"/>
    <w:tmpl w:val="DF72BC9C"/>
    <w:lvl w:ilvl="0" w:tplc="5B38D3D0">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6D32428"/>
    <w:multiLevelType w:val="hybridMultilevel"/>
    <w:tmpl w:val="45D6748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78F5274"/>
    <w:multiLevelType w:val="hybridMultilevel"/>
    <w:tmpl w:val="00564D66"/>
    <w:lvl w:ilvl="0" w:tplc="AFCCC592">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0" w15:restartNumberingAfterBreak="0">
    <w:nsid w:val="2EEE1E22"/>
    <w:multiLevelType w:val="hybridMultilevel"/>
    <w:tmpl w:val="28DC0BA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EAD4085"/>
    <w:multiLevelType w:val="hybridMultilevel"/>
    <w:tmpl w:val="80466A7C"/>
    <w:lvl w:ilvl="0" w:tplc="98EE5C3A">
      <w:start w:val="1"/>
      <w:numFmt w:val="lowerLetter"/>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2" w15:restartNumberingAfterBreak="0">
    <w:nsid w:val="3ECE1D9D"/>
    <w:multiLevelType w:val="hybridMultilevel"/>
    <w:tmpl w:val="741255B6"/>
    <w:lvl w:ilvl="0" w:tplc="4F6E90A2">
      <w:start w:val="1"/>
      <w:numFmt w:val="upperRoman"/>
      <w:lvlText w:val="%1."/>
      <w:lvlJc w:val="left"/>
      <w:pPr>
        <w:ind w:left="502" w:hanging="360"/>
      </w:pPr>
      <w:rPr>
        <w:b/>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3" w15:restartNumberingAfterBreak="0">
    <w:nsid w:val="4F7867AF"/>
    <w:multiLevelType w:val="hybridMultilevel"/>
    <w:tmpl w:val="28DC0BA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55265FF7"/>
    <w:multiLevelType w:val="hybridMultilevel"/>
    <w:tmpl w:val="3294AE26"/>
    <w:lvl w:ilvl="0" w:tplc="BADAD3F6">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56BC36B6"/>
    <w:multiLevelType w:val="hybridMultilevel"/>
    <w:tmpl w:val="327ABC3C"/>
    <w:lvl w:ilvl="0" w:tplc="6C8CB08A">
      <w:start w:val="2"/>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594505E8"/>
    <w:multiLevelType w:val="hybridMultilevel"/>
    <w:tmpl w:val="479C96B4"/>
    <w:lvl w:ilvl="0" w:tplc="FE72ED2C">
      <w:start w:val="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A763132"/>
    <w:multiLevelType w:val="hybridMultilevel"/>
    <w:tmpl w:val="BAF83216"/>
    <w:lvl w:ilvl="0" w:tplc="D6668438">
      <w:start w:val="1"/>
      <w:numFmt w:val="decimal"/>
      <w:lvlText w:val="%1."/>
      <w:lvlJc w:val="left"/>
      <w:pPr>
        <w:ind w:left="1494" w:hanging="360"/>
      </w:pPr>
      <w:rPr>
        <w:rFonts w:hint="default"/>
      </w:rPr>
    </w:lvl>
    <w:lvl w:ilvl="1" w:tplc="080A0019" w:tentative="1">
      <w:start w:val="1"/>
      <w:numFmt w:val="lowerLetter"/>
      <w:lvlText w:val="%2."/>
      <w:lvlJc w:val="left"/>
      <w:pPr>
        <w:ind w:left="2214" w:hanging="360"/>
      </w:pPr>
    </w:lvl>
    <w:lvl w:ilvl="2" w:tplc="080A001B" w:tentative="1">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abstractNum w:abstractNumId="18" w15:restartNumberingAfterBreak="0">
    <w:nsid w:val="6AB608AD"/>
    <w:multiLevelType w:val="hybridMultilevel"/>
    <w:tmpl w:val="91560EB0"/>
    <w:lvl w:ilvl="0" w:tplc="6CC2ED1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75FE7030"/>
    <w:multiLevelType w:val="hybridMultilevel"/>
    <w:tmpl w:val="5846EEE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76921930"/>
    <w:multiLevelType w:val="hybridMultilevel"/>
    <w:tmpl w:val="8DFA3998"/>
    <w:lvl w:ilvl="0" w:tplc="DE7CBAC0">
      <w:start w:val="1"/>
      <w:numFmt w:val="bullet"/>
      <w:lvlText w:val=""/>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7C977093"/>
    <w:multiLevelType w:val="hybridMultilevel"/>
    <w:tmpl w:val="10FE5B96"/>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80440162">
    <w:abstractNumId w:val="20"/>
  </w:num>
  <w:num w:numId="2" w16cid:durableId="1770539984">
    <w:abstractNumId w:val="17"/>
  </w:num>
  <w:num w:numId="3" w16cid:durableId="66615559">
    <w:abstractNumId w:val="15"/>
  </w:num>
  <w:num w:numId="4" w16cid:durableId="1751346416">
    <w:abstractNumId w:val="0"/>
  </w:num>
  <w:num w:numId="5" w16cid:durableId="570893715">
    <w:abstractNumId w:val="7"/>
  </w:num>
  <w:num w:numId="6" w16cid:durableId="2081782409">
    <w:abstractNumId w:val="14"/>
  </w:num>
  <w:num w:numId="7" w16cid:durableId="1073162884">
    <w:abstractNumId w:val="9"/>
  </w:num>
  <w:num w:numId="8" w16cid:durableId="312486505">
    <w:abstractNumId w:val="1"/>
  </w:num>
  <w:num w:numId="9" w16cid:durableId="2104914415">
    <w:abstractNumId w:val="8"/>
  </w:num>
  <w:num w:numId="10" w16cid:durableId="1789854906">
    <w:abstractNumId w:val="10"/>
  </w:num>
  <w:num w:numId="11" w16cid:durableId="869956649">
    <w:abstractNumId w:val="13"/>
  </w:num>
  <w:num w:numId="12" w16cid:durableId="1144857725">
    <w:abstractNumId w:val="2"/>
  </w:num>
  <w:num w:numId="13" w16cid:durableId="931934549">
    <w:abstractNumId w:val="5"/>
  </w:num>
  <w:num w:numId="14" w16cid:durableId="1739747878">
    <w:abstractNumId w:val="4"/>
  </w:num>
  <w:num w:numId="15" w16cid:durableId="1935742818">
    <w:abstractNumId w:val="6"/>
  </w:num>
  <w:num w:numId="16" w16cid:durableId="1140154163">
    <w:abstractNumId w:val="16"/>
  </w:num>
  <w:num w:numId="17" w16cid:durableId="566381401">
    <w:abstractNumId w:val="3"/>
  </w:num>
  <w:num w:numId="18" w16cid:durableId="1936160753">
    <w:abstractNumId w:val="12"/>
    <w:lvlOverride w:ilvl="0">
      <w:startOverride w:val="1"/>
    </w:lvlOverride>
    <w:lvlOverride w:ilvl="1"/>
    <w:lvlOverride w:ilvl="2"/>
    <w:lvlOverride w:ilvl="3"/>
    <w:lvlOverride w:ilvl="4"/>
    <w:lvlOverride w:ilvl="5"/>
    <w:lvlOverride w:ilvl="6"/>
    <w:lvlOverride w:ilvl="7"/>
    <w:lvlOverride w:ilvl="8"/>
  </w:num>
  <w:num w:numId="19" w16cid:durableId="24283737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807234196">
    <w:abstractNumId w:val="12"/>
  </w:num>
  <w:num w:numId="21" w16cid:durableId="1456943736">
    <w:abstractNumId w:val="19"/>
  </w:num>
  <w:num w:numId="22" w16cid:durableId="924529869">
    <w:abstractNumId w:val="21"/>
  </w:num>
  <w:num w:numId="23" w16cid:durableId="110075946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614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3D2E"/>
    <w:rsid w:val="00000EEF"/>
    <w:rsid w:val="00002C0D"/>
    <w:rsid w:val="00003F30"/>
    <w:rsid w:val="00017C64"/>
    <w:rsid w:val="000208A6"/>
    <w:rsid w:val="00024F3C"/>
    <w:rsid w:val="00025D34"/>
    <w:rsid w:val="00032B52"/>
    <w:rsid w:val="00046BD1"/>
    <w:rsid w:val="00047DEC"/>
    <w:rsid w:val="000513F0"/>
    <w:rsid w:val="00051FA4"/>
    <w:rsid w:val="00057448"/>
    <w:rsid w:val="000600E6"/>
    <w:rsid w:val="0006118F"/>
    <w:rsid w:val="00067B40"/>
    <w:rsid w:val="0007430F"/>
    <w:rsid w:val="00074F35"/>
    <w:rsid w:val="000867F1"/>
    <w:rsid w:val="0009603E"/>
    <w:rsid w:val="000A0EF6"/>
    <w:rsid w:val="000A16DF"/>
    <w:rsid w:val="000B0BFA"/>
    <w:rsid w:val="000B4348"/>
    <w:rsid w:val="000B51A5"/>
    <w:rsid w:val="000B7CF4"/>
    <w:rsid w:val="000D182A"/>
    <w:rsid w:val="000D6A88"/>
    <w:rsid w:val="000D6E51"/>
    <w:rsid w:val="000E1887"/>
    <w:rsid w:val="000E3EB2"/>
    <w:rsid w:val="000E5793"/>
    <w:rsid w:val="000F3649"/>
    <w:rsid w:val="000F5046"/>
    <w:rsid w:val="000F6725"/>
    <w:rsid w:val="00113A5D"/>
    <w:rsid w:val="0011533E"/>
    <w:rsid w:val="00126E75"/>
    <w:rsid w:val="00150D65"/>
    <w:rsid w:val="00155009"/>
    <w:rsid w:val="00157CE7"/>
    <w:rsid w:val="00172B01"/>
    <w:rsid w:val="00180318"/>
    <w:rsid w:val="0018536A"/>
    <w:rsid w:val="00187AE8"/>
    <w:rsid w:val="001A550F"/>
    <w:rsid w:val="001A6A07"/>
    <w:rsid w:val="001B22BB"/>
    <w:rsid w:val="001C0007"/>
    <w:rsid w:val="001C165D"/>
    <w:rsid w:val="001C2D82"/>
    <w:rsid w:val="001C4B35"/>
    <w:rsid w:val="001D1032"/>
    <w:rsid w:val="001E2D29"/>
    <w:rsid w:val="0020410B"/>
    <w:rsid w:val="00206411"/>
    <w:rsid w:val="0021144A"/>
    <w:rsid w:val="00214527"/>
    <w:rsid w:val="002149F3"/>
    <w:rsid w:val="00220171"/>
    <w:rsid w:val="00221A03"/>
    <w:rsid w:val="00221BCD"/>
    <w:rsid w:val="00244FBF"/>
    <w:rsid w:val="00250D21"/>
    <w:rsid w:val="00254D10"/>
    <w:rsid w:val="00261238"/>
    <w:rsid w:val="00262657"/>
    <w:rsid w:val="00265E77"/>
    <w:rsid w:val="002742B0"/>
    <w:rsid w:val="002823BB"/>
    <w:rsid w:val="00283D77"/>
    <w:rsid w:val="00292E04"/>
    <w:rsid w:val="00296240"/>
    <w:rsid w:val="00297D4C"/>
    <w:rsid w:val="002A03F3"/>
    <w:rsid w:val="002A64A6"/>
    <w:rsid w:val="002B0AD0"/>
    <w:rsid w:val="002B695B"/>
    <w:rsid w:val="002C1AF6"/>
    <w:rsid w:val="002C29E7"/>
    <w:rsid w:val="002C46DA"/>
    <w:rsid w:val="002D0751"/>
    <w:rsid w:val="002D1573"/>
    <w:rsid w:val="002D62A1"/>
    <w:rsid w:val="002D7291"/>
    <w:rsid w:val="002D7B63"/>
    <w:rsid w:val="002E23D8"/>
    <w:rsid w:val="002E338F"/>
    <w:rsid w:val="002E4013"/>
    <w:rsid w:val="002F2721"/>
    <w:rsid w:val="002F3CBC"/>
    <w:rsid w:val="002F5813"/>
    <w:rsid w:val="0030025C"/>
    <w:rsid w:val="00302EFB"/>
    <w:rsid w:val="00304EA0"/>
    <w:rsid w:val="003077E9"/>
    <w:rsid w:val="00315831"/>
    <w:rsid w:val="00317850"/>
    <w:rsid w:val="00324ADF"/>
    <w:rsid w:val="00325A30"/>
    <w:rsid w:val="00326AC0"/>
    <w:rsid w:val="00334794"/>
    <w:rsid w:val="00334816"/>
    <w:rsid w:val="00337365"/>
    <w:rsid w:val="003439E9"/>
    <w:rsid w:val="00344E78"/>
    <w:rsid w:val="003518E6"/>
    <w:rsid w:val="003524BB"/>
    <w:rsid w:val="0035490C"/>
    <w:rsid w:val="00356065"/>
    <w:rsid w:val="00360434"/>
    <w:rsid w:val="00370509"/>
    <w:rsid w:val="003707FB"/>
    <w:rsid w:val="00370C64"/>
    <w:rsid w:val="00371511"/>
    <w:rsid w:val="00372290"/>
    <w:rsid w:val="003730E1"/>
    <w:rsid w:val="003765F1"/>
    <w:rsid w:val="00384979"/>
    <w:rsid w:val="003A1C72"/>
    <w:rsid w:val="003A396B"/>
    <w:rsid w:val="003A57BB"/>
    <w:rsid w:val="003A63FC"/>
    <w:rsid w:val="003C0C02"/>
    <w:rsid w:val="003D3A9F"/>
    <w:rsid w:val="003E3652"/>
    <w:rsid w:val="003F7346"/>
    <w:rsid w:val="00401A1D"/>
    <w:rsid w:val="004030DF"/>
    <w:rsid w:val="004040FC"/>
    <w:rsid w:val="00405AA7"/>
    <w:rsid w:val="00413B60"/>
    <w:rsid w:val="00416BAF"/>
    <w:rsid w:val="00440C21"/>
    <w:rsid w:val="00442DD8"/>
    <w:rsid w:val="00444774"/>
    <w:rsid w:val="0045026C"/>
    <w:rsid w:val="00454283"/>
    <w:rsid w:val="00461023"/>
    <w:rsid w:val="00470C88"/>
    <w:rsid w:val="004A0D87"/>
    <w:rsid w:val="004A4028"/>
    <w:rsid w:val="004A547C"/>
    <w:rsid w:val="004A7BA1"/>
    <w:rsid w:val="004A7EDE"/>
    <w:rsid w:val="004C4B5F"/>
    <w:rsid w:val="004D4BB1"/>
    <w:rsid w:val="004D7465"/>
    <w:rsid w:val="004F0ECB"/>
    <w:rsid w:val="00505E98"/>
    <w:rsid w:val="00513B4C"/>
    <w:rsid w:val="00517EC8"/>
    <w:rsid w:val="005208E8"/>
    <w:rsid w:val="005248E2"/>
    <w:rsid w:val="00530D95"/>
    <w:rsid w:val="00536FBC"/>
    <w:rsid w:val="00541C3F"/>
    <w:rsid w:val="00542838"/>
    <w:rsid w:val="0054519A"/>
    <w:rsid w:val="0054711F"/>
    <w:rsid w:val="005516F1"/>
    <w:rsid w:val="00552DC7"/>
    <w:rsid w:val="005555F7"/>
    <w:rsid w:val="00567FB4"/>
    <w:rsid w:val="005701DE"/>
    <w:rsid w:val="00572BE5"/>
    <w:rsid w:val="005732A2"/>
    <w:rsid w:val="005764B1"/>
    <w:rsid w:val="005863F9"/>
    <w:rsid w:val="005904C1"/>
    <w:rsid w:val="005A0BD6"/>
    <w:rsid w:val="005A30C7"/>
    <w:rsid w:val="005C2449"/>
    <w:rsid w:val="005C649D"/>
    <w:rsid w:val="005D1C5B"/>
    <w:rsid w:val="005D276C"/>
    <w:rsid w:val="005D52D1"/>
    <w:rsid w:val="005D70C9"/>
    <w:rsid w:val="005E1732"/>
    <w:rsid w:val="005E7544"/>
    <w:rsid w:val="005F4343"/>
    <w:rsid w:val="005F4DF7"/>
    <w:rsid w:val="005F7B1C"/>
    <w:rsid w:val="00603561"/>
    <w:rsid w:val="00606FC3"/>
    <w:rsid w:val="006073FD"/>
    <w:rsid w:val="00610373"/>
    <w:rsid w:val="0061069D"/>
    <w:rsid w:val="00610F63"/>
    <w:rsid w:val="00614377"/>
    <w:rsid w:val="006157A0"/>
    <w:rsid w:val="00616064"/>
    <w:rsid w:val="00616E36"/>
    <w:rsid w:val="006228F8"/>
    <w:rsid w:val="00626E5C"/>
    <w:rsid w:val="00632C9E"/>
    <w:rsid w:val="006435CE"/>
    <w:rsid w:val="006444CD"/>
    <w:rsid w:val="0064652E"/>
    <w:rsid w:val="00651DF8"/>
    <w:rsid w:val="00663708"/>
    <w:rsid w:val="006659A5"/>
    <w:rsid w:val="00666CAA"/>
    <w:rsid w:val="0067337B"/>
    <w:rsid w:val="006743BC"/>
    <w:rsid w:val="00675A20"/>
    <w:rsid w:val="00682029"/>
    <w:rsid w:val="00683336"/>
    <w:rsid w:val="00683CA9"/>
    <w:rsid w:val="00687C81"/>
    <w:rsid w:val="0069063E"/>
    <w:rsid w:val="00697860"/>
    <w:rsid w:val="006A0110"/>
    <w:rsid w:val="006A0D2C"/>
    <w:rsid w:val="006B01C2"/>
    <w:rsid w:val="006C0828"/>
    <w:rsid w:val="006C1DED"/>
    <w:rsid w:val="006D0E65"/>
    <w:rsid w:val="006D0E9A"/>
    <w:rsid w:val="006D2562"/>
    <w:rsid w:val="006D685C"/>
    <w:rsid w:val="006D6B82"/>
    <w:rsid w:val="006E2BA6"/>
    <w:rsid w:val="006E3BC6"/>
    <w:rsid w:val="006F3E80"/>
    <w:rsid w:val="006F66C0"/>
    <w:rsid w:val="0071196B"/>
    <w:rsid w:val="00711BB9"/>
    <w:rsid w:val="00714673"/>
    <w:rsid w:val="0071699A"/>
    <w:rsid w:val="0072243A"/>
    <w:rsid w:val="00735D3C"/>
    <w:rsid w:val="00737BD4"/>
    <w:rsid w:val="00745AA6"/>
    <w:rsid w:val="00752122"/>
    <w:rsid w:val="007562E1"/>
    <w:rsid w:val="00756824"/>
    <w:rsid w:val="00765AD3"/>
    <w:rsid w:val="007715CE"/>
    <w:rsid w:val="0077228B"/>
    <w:rsid w:val="00775AF4"/>
    <w:rsid w:val="00776006"/>
    <w:rsid w:val="0078278A"/>
    <w:rsid w:val="007871FA"/>
    <w:rsid w:val="007909DF"/>
    <w:rsid w:val="00791403"/>
    <w:rsid w:val="007A21A2"/>
    <w:rsid w:val="007A4B01"/>
    <w:rsid w:val="007F3DB9"/>
    <w:rsid w:val="007F6488"/>
    <w:rsid w:val="007F6888"/>
    <w:rsid w:val="007F6B74"/>
    <w:rsid w:val="008004C0"/>
    <w:rsid w:val="008019DE"/>
    <w:rsid w:val="0080231A"/>
    <w:rsid w:val="00805363"/>
    <w:rsid w:val="00807007"/>
    <w:rsid w:val="00814FEE"/>
    <w:rsid w:val="00820983"/>
    <w:rsid w:val="00842220"/>
    <w:rsid w:val="00846C69"/>
    <w:rsid w:val="008500CE"/>
    <w:rsid w:val="00857904"/>
    <w:rsid w:val="00860326"/>
    <w:rsid w:val="00863DD3"/>
    <w:rsid w:val="008649F4"/>
    <w:rsid w:val="00870D1D"/>
    <w:rsid w:val="008710C4"/>
    <w:rsid w:val="00893A74"/>
    <w:rsid w:val="008A4CA6"/>
    <w:rsid w:val="008A73E0"/>
    <w:rsid w:val="008A7AD6"/>
    <w:rsid w:val="008B674F"/>
    <w:rsid w:val="008D1888"/>
    <w:rsid w:val="008E4A33"/>
    <w:rsid w:val="008F4305"/>
    <w:rsid w:val="008F7A13"/>
    <w:rsid w:val="008F7D58"/>
    <w:rsid w:val="008F7D89"/>
    <w:rsid w:val="009008F5"/>
    <w:rsid w:val="00900D28"/>
    <w:rsid w:val="00906540"/>
    <w:rsid w:val="00912AD8"/>
    <w:rsid w:val="00913C0D"/>
    <w:rsid w:val="00920025"/>
    <w:rsid w:val="00920B1F"/>
    <w:rsid w:val="009316AE"/>
    <w:rsid w:val="00934C7A"/>
    <w:rsid w:val="00940BD4"/>
    <w:rsid w:val="00951F06"/>
    <w:rsid w:val="00955C92"/>
    <w:rsid w:val="00957ECD"/>
    <w:rsid w:val="00962DAE"/>
    <w:rsid w:val="00967E48"/>
    <w:rsid w:val="009847FB"/>
    <w:rsid w:val="00987ACA"/>
    <w:rsid w:val="00990A46"/>
    <w:rsid w:val="009B134E"/>
    <w:rsid w:val="009B4803"/>
    <w:rsid w:val="009B5C2D"/>
    <w:rsid w:val="009C359D"/>
    <w:rsid w:val="009E646D"/>
    <w:rsid w:val="009E68CF"/>
    <w:rsid w:val="009F089B"/>
    <w:rsid w:val="009F1C5F"/>
    <w:rsid w:val="009F3014"/>
    <w:rsid w:val="00A01345"/>
    <w:rsid w:val="00A01719"/>
    <w:rsid w:val="00A05B94"/>
    <w:rsid w:val="00A05C51"/>
    <w:rsid w:val="00A07A65"/>
    <w:rsid w:val="00A130CE"/>
    <w:rsid w:val="00A132F5"/>
    <w:rsid w:val="00A20EF6"/>
    <w:rsid w:val="00A22571"/>
    <w:rsid w:val="00A25C62"/>
    <w:rsid w:val="00A379C6"/>
    <w:rsid w:val="00A53F51"/>
    <w:rsid w:val="00A57306"/>
    <w:rsid w:val="00A6689D"/>
    <w:rsid w:val="00A67205"/>
    <w:rsid w:val="00A75737"/>
    <w:rsid w:val="00A86183"/>
    <w:rsid w:val="00A9336C"/>
    <w:rsid w:val="00A979D1"/>
    <w:rsid w:val="00AB28FA"/>
    <w:rsid w:val="00AB5C96"/>
    <w:rsid w:val="00AB781B"/>
    <w:rsid w:val="00AC08C2"/>
    <w:rsid w:val="00AD3788"/>
    <w:rsid w:val="00AD3CC0"/>
    <w:rsid w:val="00AE1211"/>
    <w:rsid w:val="00AE47A2"/>
    <w:rsid w:val="00B02CF9"/>
    <w:rsid w:val="00B045DB"/>
    <w:rsid w:val="00B06EAC"/>
    <w:rsid w:val="00B10286"/>
    <w:rsid w:val="00B12178"/>
    <w:rsid w:val="00B1276C"/>
    <w:rsid w:val="00B15370"/>
    <w:rsid w:val="00B154AE"/>
    <w:rsid w:val="00B21B5B"/>
    <w:rsid w:val="00B24D8A"/>
    <w:rsid w:val="00B267EE"/>
    <w:rsid w:val="00B326B6"/>
    <w:rsid w:val="00B42A6E"/>
    <w:rsid w:val="00B44BF8"/>
    <w:rsid w:val="00B458F7"/>
    <w:rsid w:val="00B47FC6"/>
    <w:rsid w:val="00B50E82"/>
    <w:rsid w:val="00B546BB"/>
    <w:rsid w:val="00B61A00"/>
    <w:rsid w:val="00B62DFC"/>
    <w:rsid w:val="00B63805"/>
    <w:rsid w:val="00B66311"/>
    <w:rsid w:val="00B731C2"/>
    <w:rsid w:val="00B743DE"/>
    <w:rsid w:val="00B756F4"/>
    <w:rsid w:val="00B83DF1"/>
    <w:rsid w:val="00B85A07"/>
    <w:rsid w:val="00B92A03"/>
    <w:rsid w:val="00B971DE"/>
    <w:rsid w:val="00BA1942"/>
    <w:rsid w:val="00BA4E71"/>
    <w:rsid w:val="00BA5E6E"/>
    <w:rsid w:val="00BB16B3"/>
    <w:rsid w:val="00BB363E"/>
    <w:rsid w:val="00BD5E56"/>
    <w:rsid w:val="00BD6880"/>
    <w:rsid w:val="00BE07BB"/>
    <w:rsid w:val="00BE160C"/>
    <w:rsid w:val="00BF02C1"/>
    <w:rsid w:val="00BF4717"/>
    <w:rsid w:val="00BF5F2F"/>
    <w:rsid w:val="00C01BED"/>
    <w:rsid w:val="00C30339"/>
    <w:rsid w:val="00C30CA9"/>
    <w:rsid w:val="00C3573A"/>
    <w:rsid w:val="00C52128"/>
    <w:rsid w:val="00C61FD2"/>
    <w:rsid w:val="00C6345E"/>
    <w:rsid w:val="00C639A5"/>
    <w:rsid w:val="00C77BC2"/>
    <w:rsid w:val="00C812F9"/>
    <w:rsid w:val="00C823C2"/>
    <w:rsid w:val="00C84F16"/>
    <w:rsid w:val="00C86C28"/>
    <w:rsid w:val="00C92512"/>
    <w:rsid w:val="00C94A95"/>
    <w:rsid w:val="00CB07A1"/>
    <w:rsid w:val="00CB624B"/>
    <w:rsid w:val="00CB6B51"/>
    <w:rsid w:val="00CB7360"/>
    <w:rsid w:val="00CC71DA"/>
    <w:rsid w:val="00CC7FFB"/>
    <w:rsid w:val="00CD127D"/>
    <w:rsid w:val="00CD3974"/>
    <w:rsid w:val="00CE75AD"/>
    <w:rsid w:val="00CF2C71"/>
    <w:rsid w:val="00CF4DF3"/>
    <w:rsid w:val="00D12665"/>
    <w:rsid w:val="00D239E7"/>
    <w:rsid w:val="00D27DF3"/>
    <w:rsid w:val="00D325C3"/>
    <w:rsid w:val="00D340B6"/>
    <w:rsid w:val="00D358DC"/>
    <w:rsid w:val="00D37E71"/>
    <w:rsid w:val="00D4204F"/>
    <w:rsid w:val="00D42408"/>
    <w:rsid w:val="00D47D95"/>
    <w:rsid w:val="00D564E4"/>
    <w:rsid w:val="00D60112"/>
    <w:rsid w:val="00D70478"/>
    <w:rsid w:val="00D7082A"/>
    <w:rsid w:val="00D73901"/>
    <w:rsid w:val="00D7655D"/>
    <w:rsid w:val="00D810A5"/>
    <w:rsid w:val="00D916B7"/>
    <w:rsid w:val="00DB0CE5"/>
    <w:rsid w:val="00DB4C47"/>
    <w:rsid w:val="00DB4E78"/>
    <w:rsid w:val="00DB67FC"/>
    <w:rsid w:val="00DC4171"/>
    <w:rsid w:val="00DC615B"/>
    <w:rsid w:val="00DD0770"/>
    <w:rsid w:val="00DD70FD"/>
    <w:rsid w:val="00DE156C"/>
    <w:rsid w:val="00DE1A53"/>
    <w:rsid w:val="00DE463F"/>
    <w:rsid w:val="00DF0E54"/>
    <w:rsid w:val="00DF259B"/>
    <w:rsid w:val="00DF6286"/>
    <w:rsid w:val="00E0224F"/>
    <w:rsid w:val="00E03D2E"/>
    <w:rsid w:val="00E11DFF"/>
    <w:rsid w:val="00E1220F"/>
    <w:rsid w:val="00E162F7"/>
    <w:rsid w:val="00E20F8B"/>
    <w:rsid w:val="00E43B41"/>
    <w:rsid w:val="00E55661"/>
    <w:rsid w:val="00E577AA"/>
    <w:rsid w:val="00E62600"/>
    <w:rsid w:val="00E6283B"/>
    <w:rsid w:val="00E62AAD"/>
    <w:rsid w:val="00E64063"/>
    <w:rsid w:val="00E64955"/>
    <w:rsid w:val="00E73589"/>
    <w:rsid w:val="00E74C07"/>
    <w:rsid w:val="00E76A31"/>
    <w:rsid w:val="00E85EEA"/>
    <w:rsid w:val="00E922AF"/>
    <w:rsid w:val="00E92D8F"/>
    <w:rsid w:val="00E97E36"/>
    <w:rsid w:val="00EA026A"/>
    <w:rsid w:val="00EA027C"/>
    <w:rsid w:val="00EB1DBC"/>
    <w:rsid w:val="00EC173E"/>
    <w:rsid w:val="00EC26A3"/>
    <w:rsid w:val="00EC3F72"/>
    <w:rsid w:val="00EC4445"/>
    <w:rsid w:val="00EC774D"/>
    <w:rsid w:val="00ED1077"/>
    <w:rsid w:val="00ED3F0E"/>
    <w:rsid w:val="00EF191D"/>
    <w:rsid w:val="00F0588A"/>
    <w:rsid w:val="00F11F5A"/>
    <w:rsid w:val="00F129ED"/>
    <w:rsid w:val="00F12CF7"/>
    <w:rsid w:val="00F12F82"/>
    <w:rsid w:val="00F1396D"/>
    <w:rsid w:val="00F325B0"/>
    <w:rsid w:val="00F32AB1"/>
    <w:rsid w:val="00F459D0"/>
    <w:rsid w:val="00F47DC1"/>
    <w:rsid w:val="00F5147C"/>
    <w:rsid w:val="00F52854"/>
    <w:rsid w:val="00F56578"/>
    <w:rsid w:val="00F5782B"/>
    <w:rsid w:val="00F57B30"/>
    <w:rsid w:val="00F6653D"/>
    <w:rsid w:val="00F76E6E"/>
    <w:rsid w:val="00F81C60"/>
    <w:rsid w:val="00F8473E"/>
    <w:rsid w:val="00F8601A"/>
    <w:rsid w:val="00F86130"/>
    <w:rsid w:val="00F962B0"/>
    <w:rsid w:val="00FA1FFC"/>
    <w:rsid w:val="00FB5587"/>
    <w:rsid w:val="00FC209B"/>
    <w:rsid w:val="00FD4998"/>
    <w:rsid w:val="00FE38E4"/>
    <w:rsid w:val="00FF2630"/>
    <w:rsid w:val="00FF2DB5"/>
    <w:rsid w:val="00FF3076"/>
    <w:rsid w:val="00FF634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14:docId w14:val="1D0C5365"/>
  <w15:docId w15:val="{E96270AB-6D24-404E-BA30-D9948A89C9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3D2E"/>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CNBV Parrafo1,Párrafo de lista1,Parrafo 1,Lista multicolor - Énfasis 11,Lista vistosa - Énfasis 11,Cuadrícula media 1 - Énfasis 21,Cita texto,Footnote,List Paragraph-Thesis,TEXTO GENERAL SENTENCIAS,List Paragraph1,Dot pt,No Spacing1"/>
    <w:basedOn w:val="Normal"/>
    <w:link w:val="PrrafodelistaCar"/>
    <w:uiPriority w:val="34"/>
    <w:qFormat/>
    <w:rsid w:val="00E03D2E"/>
    <w:pPr>
      <w:ind w:left="720"/>
      <w:contextualSpacing/>
    </w:pPr>
  </w:style>
  <w:style w:type="paragraph" w:styleId="Textonotapie">
    <w:name w:val="footnote text"/>
    <w:aliases w:val="Footnote Text Char Char Char Char Char,Footnote Text Char Char Char Char,Footnote Text Cha,Footnote reference,FA Fu,Footnote Text Char Char Char,FA Fußnotentext,FA Fu?notentext,Footnote Text Char Char,FA Fuﬂnotentext,Ca,FA Fu?notente,Ca1"/>
    <w:basedOn w:val="Normal"/>
    <w:link w:val="TextonotapieCar"/>
    <w:qFormat/>
    <w:rsid w:val="00E03D2E"/>
    <w:pPr>
      <w:spacing w:after="0" w:line="240" w:lineRule="auto"/>
    </w:pPr>
    <w:rPr>
      <w:rFonts w:ascii="Times New Roman" w:eastAsia="Times New Roman" w:hAnsi="Times New Roman"/>
      <w:sz w:val="20"/>
      <w:szCs w:val="20"/>
      <w:lang w:val="es-ES" w:eastAsia="es-ES"/>
    </w:rPr>
  </w:style>
  <w:style w:type="character" w:customStyle="1" w:styleId="TextonotapieCar">
    <w:name w:val="Texto nota pie Car"/>
    <w:aliases w:val="Footnote Text Char Char Char Char Char Car,Footnote Text Char Char Char Char Car,Footnote Text Cha Car,Footnote reference Car,FA Fu Car,Footnote Text Char Char Char Car,FA Fußnotentext Car,FA Fu?notentext Car,FA Fuﬂnotentext Car"/>
    <w:basedOn w:val="Fuentedeprrafopredeter"/>
    <w:link w:val="Textonotapie"/>
    <w:qFormat/>
    <w:rsid w:val="00E03D2E"/>
    <w:rPr>
      <w:rFonts w:ascii="Times New Roman" w:eastAsia="Times New Roman" w:hAnsi="Times New Roman" w:cs="Times New Roman"/>
      <w:sz w:val="20"/>
      <w:szCs w:val="20"/>
      <w:lang w:val="es-ES" w:eastAsia="es-ES"/>
    </w:rPr>
  </w:style>
  <w:style w:type="character" w:styleId="Refdenotaalpie">
    <w:name w:val="footnote reference"/>
    <w:aliases w:val="Footnotes refss,Texto de nota al pie,Appel note de bas de page,Footnote number,referencia nota al pie,BVI fnr,4_G,16 Point,Superscript 6 Point,Texto nota al pie,Footnote Reference Char3,Footnote Reference Char1 Char,ftref,julio,Ref,f"/>
    <w:link w:val="4GChar"/>
    <w:uiPriority w:val="99"/>
    <w:qFormat/>
    <w:rsid w:val="00E03D2E"/>
    <w:rPr>
      <w:rFonts w:cs="Times New Roman"/>
      <w:vertAlign w:val="superscript"/>
    </w:rPr>
  </w:style>
  <w:style w:type="paragraph" w:styleId="Encabezado">
    <w:name w:val="header"/>
    <w:basedOn w:val="Normal"/>
    <w:link w:val="EncabezadoCar"/>
    <w:uiPriority w:val="99"/>
    <w:rsid w:val="00E03D2E"/>
    <w:pPr>
      <w:tabs>
        <w:tab w:val="center" w:pos="4419"/>
        <w:tab w:val="right" w:pos="8838"/>
      </w:tabs>
      <w:suppressAutoHyphens/>
      <w:spacing w:after="0" w:line="240" w:lineRule="auto"/>
    </w:pPr>
    <w:rPr>
      <w:rFonts w:ascii="Arial" w:eastAsia="Times New Roman" w:hAnsi="Arial" w:cs="Arial"/>
      <w:sz w:val="20"/>
      <w:szCs w:val="20"/>
      <w:lang w:val="es-ES" w:eastAsia="ar-SA"/>
    </w:rPr>
  </w:style>
  <w:style w:type="character" w:customStyle="1" w:styleId="EncabezadoCar">
    <w:name w:val="Encabezado Car"/>
    <w:basedOn w:val="Fuentedeprrafopredeter"/>
    <w:link w:val="Encabezado"/>
    <w:uiPriority w:val="99"/>
    <w:rsid w:val="00E03D2E"/>
    <w:rPr>
      <w:rFonts w:ascii="Arial" w:eastAsia="Times New Roman" w:hAnsi="Arial" w:cs="Arial"/>
      <w:sz w:val="20"/>
      <w:szCs w:val="20"/>
      <w:lang w:val="es-ES" w:eastAsia="ar-SA"/>
    </w:rPr>
  </w:style>
  <w:style w:type="paragraph" w:styleId="Piedepgina">
    <w:name w:val="footer"/>
    <w:basedOn w:val="Normal"/>
    <w:link w:val="PiedepginaCar"/>
    <w:uiPriority w:val="99"/>
    <w:rsid w:val="00E03D2E"/>
    <w:pPr>
      <w:tabs>
        <w:tab w:val="center" w:pos="4419"/>
        <w:tab w:val="right" w:pos="8838"/>
      </w:tabs>
      <w:suppressAutoHyphens/>
      <w:spacing w:after="0" w:line="240" w:lineRule="auto"/>
    </w:pPr>
    <w:rPr>
      <w:rFonts w:ascii="Arial" w:eastAsia="Times New Roman" w:hAnsi="Arial" w:cs="Arial"/>
      <w:sz w:val="20"/>
      <w:szCs w:val="20"/>
      <w:lang w:val="es-ES" w:eastAsia="ar-SA"/>
    </w:rPr>
  </w:style>
  <w:style w:type="character" w:customStyle="1" w:styleId="PiedepginaCar">
    <w:name w:val="Pie de página Car"/>
    <w:basedOn w:val="Fuentedeprrafopredeter"/>
    <w:link w:val="Piedepgina"/>
    <w:uiPriority w:val="99"/>
    <w:rsid w:val="00E03D2E"/>
    <w:rPr>
      <w:rFonts w:ascii="Arial" w:eastAsia="Times New Roman" w:hAnsi="Arial" w:cs="Arial"/>
      <w:sz w:val="20"/>
      <w:szCs w:val="20"/>
      <w:lang w:val="es-ES" w:eastAsia="ar-SA"/>
    </w:rPr>
  </w:style>
  <w:style w:type="paragraph" w:styleId="Sinespaciado">
    <w:name w:val="No Spacing"/>
    <w:basedOn w:val="Normal"/>
    <w:link w:val="SinespaciadoCar"/>
    <w:uiPriority w:val="1"/>
    <w:qFormat/>
    <w:rsid w:val="00E03D2E"/>
    <w:pPr>
      <w:spacing w:after="0" w:line="240" w:lineRule="auto"/>
    </w:pPr>
    <w:rPr>
      <w:sz w:val="20"/>
      <w:szCs w:val="20"/>
      <w:lang w:eastAsia="es-ES"/>
    </w:rPr>
  </w:style>
  <w:style w:type="character" w:customStyle="1" w:styleId="SinespaciadoCar">
    <w:name w:val="Sin espaciado Car"/>
    <w:link w:val="Sinespaciado"/>
    <w:uiPriority w:val="1"/>
    <w:qFormat/>
    <w:locked/>
    <w:rsid w:val="00E03D2E"/>
    <w:rPr>
      <w:rFonts w:ascii="Calibri" w:eastAsia="Calibri" w:hAnsi="Calibri" w:cs="Times New Roman"/>
      <w:sz w:val="20"/>
      <w:szCs w:val="20"/>
      <w:lang w:eastAsia="es-ES"/>
    </w:rPr>
  </w:style>
  <w:style w:type="table" w:styleId="Tablaconcuadrcula">
    <w:name w:val="Table Grid"/>
    <w:basedOn w:val="Tablanormal"/>
    <w:uiPriority w:val="39"/>
    <w:rsid w:val="00A05C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Cuadrculaclara">
    <w:name w:val="Light Grid"/>
    <w:basedOn w:val="Tablanormal"/>
    <w:uiPriority w:val="62"/>
    <w:rsid w:val="00A05C51"/>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styleId="Hipervnculo">
    <w:name w:val="Hyperlink"/>
    <w:uiPriority w:val="99"/>
    <w:rsid w:val="00DD70FD"/>
    <w:rPr>
      <w:rFonts w:cs="Times New Roman"/>
      <w:color w:val="0000FF"/>
      <w:u w:val="single"/>
    </w:rPr>
  </w:style>
  <w:style w:type="paragraph" w:styleId="Textodeglobo">
    <w:name w:val="Balloon Text"/>
    <w:basedOn w:val="Normal"/>
    <w:link w:val="TextodegloboCar"/>
    <w:uiPriority w:val="99"/>
    <w:semiHidden/>
    <w:unhideWhenUsed/>
    <w:rsid w:val="00E162F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162F7"/>
    <w:rPr>
      <w:rFonts w:ascii="Segoe UI" w:eastAsia="Calibri" w:hAnsi="Segoe UI" w:cs="Segoe UI"/>
      <w:sz w:val="18"/>
      <w:szCs w:val="18"/>
    </w:rPr>
  </w:style>
  <w:style w:type="character" w:styleId="Textoennegrita">
    <w:name w:val="Strong"/>
    <w:basedOn w:val="Fuentedeprrafopredeter"/>
    <w:uiPriority w:val="22"/>
    <w:qFormat/>
    <w:rsid w:val="00B971DE"/>
    <w:rPr>
      <w:b/>
      <w:bC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6E3BC6"/>
    <w:pPr>
      <w:spacing w:after="0" w:line="240" w:lineRule="auto"/>
      <w:jc w:val="both"/>
    </w:pPr>
    <w:rPr>
      <w:rFonts w:asciiTheme="minorHAnsi" w:eastAsiaTheme="minorHAnsi" w:hAnsiTheme="minorHAnsi"/>
      <w:vertAlign w:val="superscript"/>
    </w:rPr>
  </w:style>
  <w:style w:type="character" w:customStyle="1" w:styleId="PrrafodelistaCar">
    <w:name w:val="Párrafo de lista Car"/>
    <w:aliases w:val="CNBV Parrafo1 Car,Párrafo de lista1 Car,Parrafo 1 Car,Lista multicolor - Énfasis 11 Car,Lista vistosa - Énfasis 11 Car,Cuadrícula media 1 - Énfasis 21 Car,Cita texto Car,Footnote Car,List Paragraph-Thesis Car,List Paragraph1 Car"/>
    <w:link w:val="Prrafodelista"/>
    <w:uiPriority w:val="34"/>
    <w:qFormat/>
    <w:locked/>
    <w:rsid w:val="006E3BC6"/>
    <w:rPr>
      <w:rFonts w:ascii="Calibri" w:eastAsia="Calibri" w:hAnsi="Calibri" w:cs="Times New Roman"/>
    </w:rPr>
  </w:style>
  <w:style w:type="paragraph" w:styleId="Textoindependiente3">
    <w:name w:val="Body Text 3"/>
    <w:basedOn w:val="Normal"/>
    <w:link w:val="Textoindependiente3Car"/>
    <w:uiPriority w:val="99"/>
    <w:unhideWhenUsed/>
    <w:rsid w:val="000F3649"/>
    <w:pPr>
      <w:spacing w:after="120" w:line="240" w:lineRule="auto"/>
    </w:pPr>
    <w:rPr>
      <w:rFonts w:ascii="Times New Roman" w:eastAsia="Times New Roman" w:hAnsi="Times New Roman"/>
      <w:sz w:val="16"/>
      <w:szCs w:val="16"/>
      <w:lang w:val="es-ES_tradnl" w:eastAsia="es-ES"/>
    </w:rPr>
  </w:style>
  <w:style w:type="character" w:customStyle="1" w:styleId="Textoindependiente3Car">
    <w:name w:val="Texto independiente 3 Car"/>
    <w:basedOn w:val="Fuentedeprrafopredeter"/>
    <w:link w:val="Textoindependiente3"/>
    <w:uiPriority w:val="99"/>
    <w:rsid w:val="000F3649"/>
    <w:rPr>
      <w:rFonts w:ascii="Times New Roman" w:eastAsia="Times New Roman" w:hAnsi="Times New Roman" w:cs="Times New Roman"/>
      <w:sz w:val="16"/>
      <w:szCs w:val="16"/>
      <w:lang w:val="es-ES_tradnl" w:eastAsia="es-ES"/>
    </w:rPr>
  </w:style>
  <w:style w:type="paragraph" w:styleId="Textosinformato">
    <w:name w:val="Plain Text"/>
    <w:basedOn w:val="Normal"/>
    <w:link w:val="TextosinformatoCar"/>
    <w:unhideWhenUsed/>
    <w:rsid w:val="000F3649"/>
    <w:pPr>
      <w:spacing w:after="0" w:line="240" w:lineRule="auto"/>
    </w:pPr>
    <w:rPr>
      <w:rFonts w:ascii="Courier New" w:eastAsia="Times New Roman" w:hAnsi="Courier New"/>
      <w:sz w:val="20"/>
      <w:szCs w:val="20"/>
      <w:lang w:val="x-none" w:eastAsia="es-ES"/>
    </w:rPr>
  </w:style>
  <w:style w:type="character" w:customStyle="1" w:styleId="TextosinformatoCar">
    <w:name w:val="Texto sin formato Car"/>
    <w:basedOn w:val="Fuentedeprrafopredeter"/>
    <w:link w:val="Textosinformato"/>
    <w:rsid w:val="000F3649"/>
    <w:rPr>
      <w:rFonts w:ascii="Courier New" w:eastAsia="Times New Roman" w:hAnsi="Courier New" w:cs="Times New Roman"/>
      <w:sz w:val="20"/>
      <w:szCs w:val="20"/>
      <w:lang w:val="x-none" w:eastAsia="es-ES"/>
    </w:rPr>
  </w:style>
  <w:style w:type="paragraph" w:styleId="NormalWeb">
    <w:name w:val="Normal (Web)"/>
    <w:aliases w:val="Normal (Web) Car1,Normal (Web) Car Car,Normal (Web) Car1 Car Car,Normal (Web) Car Car Car Car,Normal (Web) Car Car Car Car Car Car,Normal (Web) Car Car Car Car Car Car Car Car Car Car,Car Car Car Car,Car Car Car,Car Car,Car,Car Car Ca,1"/>
    <w:link w:val="NormalWebCar"/>
    <w:uiPriority w:val="99"/>
    <w:qFormat/>
    <w:rsid w:val="000F3649"/>
    <w:pPr>
      <w:pBdr>
        <w:top w:val="nil"/>
        <w:left w:val="nil"/>
        <w:bottom w:val="nil"/>
        <w:right w:val="nil"/>
        <w:between w:val="nil"/>
        <w:bar w:val="nil"/>
      </w:pBdr>
      <w:spacing w:before="100" w:after="100" w:line="240" w:lineRule="auto"/>
    </w:pPr>
    <w:rPr>
      <w:rFonts w:ascii="Times New Roman" w:eastAsia="Arial Unicode MS" w:hAnsi="Times New Roman" w:cs="Arial Unicode MS"/>
      <w:color w:val="000000"/>
      <w:sz w:val="24"/>
      <w:szCs w:val="24"/>
      <w:u w:color="000000"/>
      <w:bdr w:val="nil"/>
      <w:lang w:val="es-ES_tradnl" w:eastAsia="es-MX"/>
    </w:rPr>
  </w:style>
  <w:style w:type="character" w:customStyle="1" w:styleId="NormalWebCar">
    <w:name w:val="Normal (Web) Car"/>
    <w:aliases w:val="Normal (Web) Car1 Car,Normal (Web) Car Car Car,Normal (Web) Car1 Car Car Car,Normal (Web) Car Car Car Car Car,Normal (Web) Car Car Car Car Car Car Car,Normal (Web) Car Car Car Car Car Car Car Car Car Car Car,Car Car Car Car Car,Car Car1"/>
    <w:link w:val="NormalWeb"/>
    <w:uiPriority w:val="99"/>
    <w:locked/>
    <w:rsid w:val="000F3649"/>
    <w:rPr>
      <w:rFonts w:ascii="Times New Roman" w:eastAsia="Arial Unicode MS" w:hAnsi="Times New Roman" w:cs="Arial Unicode MS"/>
      <w:color w:val="000000"/>
      <w:sz w:val="24"/>
      <w:szCs w:val="24"/>
      <w:u w:color="000000"/>
      <w:bdr w:val="nil"/>
      <w:lang w:val="es-ES_tradnl" w:eastAsia="es-MX"/>
    </w:rPr>
  </w:style>
  <w:style w:type="paragraph" w:customStyle="1" w:styleId="temp">
    <w:name w:val="temp"/>
    <w:basedOn w:val="Normal"/>
    <w:rsid w:val="00F86130"/>
    <w:pPr>
      <w:spacing w:before="100" w:beforeAutospacing="1" w:after="100" w:afterAutospacing="1" w:line="240" w:lineRule="auto"/>
    </w:pPr>
    <w:rPr>
      <w:rFonts w:ascii="Times New Roman" w:eastAsia="Times New Roman" w:hAnsi="Times New Roman"/>
      <w:sz w:val="24"/>
      <w:szCs w:val="24"/>
      <w:lang w:eastAsia="es-MX"/>
    </w:rPr>
  </w:style>
  <w:style w:type="character" w:customStyle="1" w:styleId="bold">
    <w:name w:val="bold"/>
    <w:basedOn w:val="Fuentedeprrafopredeter"/>
    <w:rsid w:val="00F86130"/>
  </w:style>
  <w:style w:type="character" w:customStyle="1" w:styleId="ng-star-inserted">
    <w:name w:val="ng-star-inserted"/>
    <w:basedOn w:val="Fuentedeprrafopredeter"/>
    <w:rsid w:val="00F86130"/>
  </w:style>
  <w:style w:type="paragraph" w:customStyle="1" w:styleId="Estilo">
    <w:name w:val="Estilo"/>
    <w:basedOn w:val="Sinespaciado"/>
    <w:link w:val="EstiloCar"/>
    <w:qFormat/>
    <w:rsid w:val="004D7465"/>
    <w:pPr>
      <w:jc w:val="both"/>
    </w:pPr>
    <w:rPr>
      <w:rFonts w:ascii="Arial" w:eastAsiaTheme="minorHAnsi" w:hAnsi="Arial" w:cstheme="minorBidi"/>
      <w:sz w:val="24"/>
      <w:szCs w:val="22"/>
      <w:lang w:eastAsia="en-US"/>
    </w:rPr>
  </w:style>
  <w:style w:type="character" w:customStyle="1" w:styleId="EstiloCar">
    <w:name w:val="Estilo Car"/>
    <w:basedOn w:val="Fuentedeprrafopredeter"/>
    <w:link w:val="Estilo"/>
    <w:rsid w:val="004D7465"/>
    <w:rPr>
      <w:rFonts w:ascii="Arial" w:hAnsi="Arial"/>
      <w:sz w:val="24"/>
    </w:rPr>
  </w:style>
  <w:style w:type="character" w:styleId="Refdecomentario">
    <w:name w:val="annotation reference"/>
    <w:basedOn w:val="Fuentedeprrafopredeter"/>
    <w:uiPriority w:val="99"/>
    <w:semiHidden/>
    <w:unhideWhenUsed/>
    <w:rsid w:val="003D3A9F"/>
    <w:rPr>
      <w:sz w:val="16"/>
      <w:szCs w:val="16"/>
    </w:rPr>
  </w:style>
  <w:style w:type="paragraph" w:styleId="Textocomentario">
    <w:name w:val="annotation text"/>
    <w:basedOn w:val="Normal"/>
    <w:link w:val="TextocomentarioCar"/>
    <w:uiPriority w:val="99"/>
    <w:unhideWhenUsed/>
    <w:rsid w:val="003D3A9F"/>
    <w:pPr>
      <w:spacing w:line="240" w:lineRule="auto"/>
    </w:pPr>
    <w:rPr>
      <w:sz w:val="20"/>
      <w:szCs w:val="20"/>
    </w:rPr>
  </w:style>
  <w:style w:type="character" w:customStyle="1" w:styleId="TextocomentarioCar">
    <w:name w:val="Texto comentario Car"/>
    <w:basedOn w:val="Fuentedeprrafopredeter"/>
    <w:link w:val="Textocomentario"/>
    <w:uiPriority w:val="99"/>
    <w:rsid w:val="003D3A9F"/>
    <w:rPr>
      <w:rFonts w:ascii="Calibri" w:eastAsia="Calibri" w:hAnsi="Calibri"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3D3A9F"/>
    <w:rPr>
      <w:b/>
      <w:bCs/>
    </w:rPr>
  </w:style>
  <w:style w:type="character" w:customStyle="1" w:styleId="AsuntodelcomentarioCar">
    <w:name w:val="Asunto del comentario Car"/>
    <w:basedOn w:val="TextocomentarioCar"/>
    <w:link w:val="Asuntodelcomentario"/>
    <w:uiPriority w:val="99"/>
    <w:semiHidden/>
    <w:rsid w:val="003D3A9F"/>
    <w:rPr>
      <w:rFonts w:ascii="Calibri" w:eastAsia="Calibri" w:hAnsi="Calibri" w:cs="Times New Roman"/>
      <w:b/>
      <w:bCs/>
      <w:sz w:val="20"/>
      <w:szCs w:val="20"/>
    </w:rPr>
  </w:style>
  <w:style w:type="paragraph" w:styleId="Revisin">
    <w:name w:val="Revision"/>
    <w:hidden/>
    <w:uiPriority w:val="99"/>
    <w:semiHidden/>
    <w:rsid w:val="003D3A9F"/>
    <w:pPr>
      <w:spacing w:after="0" w:line="240" w:lineRule="auto"/>
    </w:pPr>
    <w:rPr>
      <w:rFonts w:ascii="Calibri" w:eastAsia="Calibri" w:hAnsi="Calibri" w:cs="Times New Roman"/>
    </w:rPr>
  </w:style>
  <w:style w:type="paragraph" w:styleId="Textoindependiente">
    <w:name w:val="Body Text"/>
    <w:basedOn w:val="Normal"/>
    <w:link w:val="TextoindependienteCar"/>
    <w:uiPriority w:val="99"/>
    <w:semiHidden/>
    <w:unhideWhenUsed/>
    <w:rsid w:val="00951F06"/>
    <w:pPr>
      <w:spacing w:after="120"/>
    </w:pPr>
  </w:style>
  <w:style w:type="character" w:customStyle="1" w:styleId="TextoindependienteCar">
    <w:name w:val="Texto independiente Car"/>
    <w:basedOn w:val="Fuentedeprrafopredeter"/>
    <w:link w:val="Textoindependiente"/>
    <w:uiPriority w:val="99"/>
    <w:semiHidden/>
    <w:rsid w:val="00951F06"/>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8088390">
      <w:bodyDiv w:val="1"/>
      <w:marLeft w:val="0"/>
      <w:marRight w:val="0"/>
      <w:marTop w:val="0"/>
      <w:marBottom w:val="0"/>
      <w:divBdr>
        <w:top w:val="none" w:sz="0" w:space="0" w:color="auto"/>
        <w:left w:val="none" w:sz="0" w:space="0" w:color="auto"/>
        <w:bottom w:val="none" w:sz="0" w:space="0" w:color="auto"/>
        <w:right w:val="none" w:sz="0" w:space="0" w:color="auto"/>
      </w:divBdr>
    </w:div>
    <w:div w:id="500462984">
      <w:bodyDiv w:val="1"/>
      <w:marLeft w:val="0"/>
      <w:marRight w:val="0"/>
      <w:marTop w:val="0"/>
      <w:marBottom w:val="0"/>
      <w:divBdr>
        <w:top w:val="none" w:sz="0" w:space="0" w:color="auto"/>
        <w:left w:val="none" w:sz="0" w:space="0" w:color="auto"/>
        <w:bottom w:val="none" w:sz="0" w:space="0" w:color="auto"/>
        <w:right w:val="none" w:sz="0" w:space="0" w:color="auto"/>
      </w:divBdr>
    </w:div>
    <w:div w:id="840657415">
      <w:bodyDiv w:val="1"/>
      <w:marLeft w:val="0"/>
      <w:marRight w:val="0"/>
      <w:marTop w:val="0"/>
      <w:marBottom w:val="0"/>
      <w:divBdr>
        <w:top w:val="none" w:sz="0" w:space="0" w:color="auto"/>
        <w:left w:val="none" w:sz="0" w:space="0" w:color="auto"/>
        <w:bottom w:val="none" w:sz="0" w:space="0" w:color="auto"/>
        <w:right w:val="none" w:sz="0" w:space="0" w:color="auto"/>
      </w:divBdr>
    </w:div>
    <w:div w:id="1116873223">
      <w:bodyDiv w:val="1"/>
      <w:marLeft w:val="0"/>
      <w:marRight w:val="0"/>
      <w:marTop w:val="0"/>
      <w:marBottom w:val="0"/>
      <w:divBdr>
        <w:top w:val="none" w:sz="0" w:space="0" w:color="auto"/>
        <w:left w:val="none" w:sz="0" w:space="0" w:color="auto"/>
        <w:bottom w:val="none" w:sz="0" w:space="0" w:color="auto"/>
        <w:right w:val="none" w:sz="0" w:space="0" w:color="auto"/>
      </w:divBdr>
      <w:divsChild>
        <w:div w:id="1645086183">
          <w:marLeft w:val="0"/>
          <w:marRight w:val="0"/>
          <w:marTop w:val="0"/>
          <w:marBottom w:val="0"/>
          <w:divBdr>
            <w:top w:val="none" w:sz="0" w:space="0" w:color="auto"/>
            <w:left w:val="none" w:sz="0" w:space="0" w:color="auto"/>
            <w:bottom w:val="none" w:sz="0" w:space="0" w:color="auto"/>
            <w:right w:val="none" w:sz="0" w:space="0" w:color="auto"/>
          </w:divBdr>
        </w:div>
        <w:div w:id="32385244">
          <w:marLeft w:val="0"/>
          <w:marRight w:val="0"/>
          <w:marTop w:val="0"/>
          <w:marBottom w:val="0"/>
          <w:divBdr>
            <w:top w:val="none" w:sz="0" w:space="0" w:color="auto"/>
            <w:left w:val="none" w:sz="0" w:space="0" w:color="auto"/>
            <w:bottom w:val="none" w:sz="0" w:space="0" w:color="auto"/>
            <w:right w:val="none" w:sz="0" w:space="0" w:color="auto"/>
          </w:divBdr>
        </w:div>
        <w:div w:id="163327672">
          <w:marLeft w:val="0"/>
          <w:marRight w:val="0"/>
          <w:marTop w:val="0"/>
          <w:marBottom w:val="0"/>
          <w:divBdr>
            <w:top w:val="none" w:sz="0" w:space="0" w:color="auto"/>
            <w:left w:val="none" w:sz="0" w:space="0" w:color="auto"/>
            <w:bottom w:val="none" w:sz="0" w:space="0" w:color="auto"/>
            <w:right w:val="none" w:sz="0" w:space="0" w:color="auto"/>
          </w:divBdr>
        </w:div>
        <w:div w:id="1578517834">
          <w:marLeft w:val="0"/>
          <w:marRight w:val="0"/>
          <w:marTop w:val="0"/>
          <w:marBottom w:val="0"/>
          <w:divBdr>
            <w:top w:val="none" w:sz="0" w:space="0" w:color="auto"/>
            <w:left w:val="none" w:sz="0" w:space="0" w:color="auto"/>
            <w:bottom w:val="none" w:sz="0" w:space="0" w:color="auto"/>
            <w:right w:val="none" w:sz="0" w:space="0" w:color="auto"/>
          </w:divBdr>
        </w:div>
        <w:div w:id="1372219592">
          <w:marLeft w:val="0"/>
          <w:marRight w:val="0"/>
          <w:marTop w:val="0"/>
          <w:marBottom w:val="0"/>
          <w:divBdr>
            <w:top w:val="none" w:sz="0" w:space="0" w:color="auto"/>
            <w:left w:val="none" w:sz="0" w:space="0" w:color="auto"/>
            <w:bottom w:val="none" w:sz="0" w:space="0" w:color="auto"/>
            <w:right w:val="none" w:sz="0" w:space="0" w:color="auto"/>
          </w:divBdr>
        </w:div>
        <w:div w:id="1488550266">
          <w:marLeft w:val="0"/>
          <w:marRight w:val="0"/>
          <w:marTop w:val="0"/>
          <w:marBottom w:val="0"/>
          <w:divBdr>
            <w:top w:val="none" w:sz="0" w:space="0" w:color="auto"/>
            <w:left w:val="none" w:sz="0" w:space="0" w:color="auto"/>
            <w:bottom w:val="none" w:sz="0" w:space="0" w:color="auto"/>
            <w:right w:val="none" w:sz="0" w:space="0" w:color="auto"/>
          </w:divBdr>
        </w:div>
        <w:div w:id="17971413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404FE4-01E5-4BD8-9237-986E5387F9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9</Pages>
  <Words>2470</Words>
  <Characters>13586</Characters>
  <Application>Microsoft Office Word</Application>
  <DocSecurity>0</DocSecurity>
  <Lines>113</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Carmen Chacon</dc:creator>
  <cp:lastModifiedBy>Luis Alfonso Campos Guzman</cp:lastModifiedBy>
  <cp:revision>14</cp:revision>
  <cp:lastPrinted>2023-03-27T15:02:00Z</cp:lastPrinted>
  <dcterms:created xsi:type="dcterms:W3CDTF">2023-03-28T19:42:00Z</dcterms:created>
  <dcterms:modified xsi:type="dcterms:W3CDTF">2023-03-29T19:18:00Z</dcterms:modified>
</cp:coreProperties>
</file>