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65" w:rsidRPr="0064568E" w:rsidRDefault="00256859" w:rsidP="0064568E">
      <w:pPr>
        <w:widowControl w:val="0"/>
        <w:pBdr>
          <w:top w:val="nil"/>
          <w:left w:val="nil"/>
          <w:bottom w:val="nil"/>
          <w:right w:val="nil"/>
          <w:between w:val="nil"/>
        </w:pBdr>
        <w:spacing w:after="0" w:line="240" w:lineRule="auto"/>
        <w:jc w:val="both"/>
        <w:rPr>
          <w:rFonts w:ascii="Trebuchet MS" w:eastAsia="Trebuchet MS" w:hAnsi="Trebuchet MS" w:cs="Trebuchet MS"/>
          <w:b/>
          <w:sz w:val="24"/>
          <w:szCs w:val="24"/>
          <w:lang w:val="es-ES_tradnl"/>
        </w:rPr>
      </w:pPr>
      <w:r>
        <w:rPr>
          <w:rFonts w:ascii="Trebuchet MS" w:hAnsi="Trebuchet MS"/>
          <w:noProof/>
          <w:sz w:val="24"/>
          <w:szCs w:val="24"/>
        </w:rPr>
        <w:pict>
          <v:shapetype id="_x0000_t202" coordsize="21600,21600" o:spt="202" path="m,l,21600r21600,l21600,xe">
            <v:stroke joinstyle="miter"/>
            <v:path gradientshapeok="t" o:connecttype="rect"/>
          </v:shapetype>
          <v:shape id="WordArt 2" o:spid="_x0000_s1026" type="#_x0000_t202" style="position:absolute;left:0;text-align:left;margin-left:0;margin-top:0;width:50pt;height:50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w:r>
      <w:r w:rsidR="00D55765" w:rsidRPr="0064568E">
        <w:rPr>
          <w:rFonts w:ascii="Trebuchet MS" w:eastAsia="Trebuchet MS" w:hAnsi="Trebuchet MS" w:cs="Trebuchet MS"/>
          <w:b/>
          <w:sz w:val="24"/>
          <w:szCs w:val="24"/>
          <w:lang w:val="es-ES"/>
        </w:rPr>
        <w:t>RESOLUCIÓN DEL CONSEJO GENERAL DEL INSTITUTO ELECTORAL Y DE PARTICIPACIÓN CIUDADANA DEL ESTADO DE JALISCO, RELATIVO AL RECURSO DE REVISIÓN RADICADO CON EL NÚMERO DE EXPEDIENTE REV-006/2021, EN CUMPLIMIENTO A LA RESOLUCIÓN</w:t>
      </w:r>
      <w:r w:rsidR="006F46B8" w:rsidRPr="0064568E">
        <w:rPr>
          <w:rFonts w:ascii="Trebuchet MS" w:eastAsia="Trebuchet MS" w:hAnsi="Trebuchet MS" w:cs="Trebuchet MS"/>
          <w:b/>
          <w:sz w:val="24"/>
          <w:szCs w:val="24"/>
          <w:lang w:val="es-ES"/>
        </w:rPr>
        <w:t xml:space="preserve"> DEL</w:t>
      </w:r>
      <w:r w:rsidR="00D55765" w:rsidRPr="0064568E">
        <w:rPr>
          <w:rFonts w:ascii="Trebuchet MS" w:eastAsia="Trebuchet MS" w:hAnsi="Trebuchet MS" w:cs="Trebuchet MS"/>
          <w:b/>
          <w:sz w:val="24"/>
          <w:szCs w:val="24"/>
          <w:lang w:val="es-ES"/>
        </w:rPr>
        <w:t xml:space="preserve"> JU</w:t>
      </w:r>
      <w:r w:rsidR="006F46B8" w:rsidRPr="0064568E">
        <w:rPr>
          <w:rFonts w:ascii="Trebuchet MS" w:eastAsia="Trebuchet MS" w:hAnsi="Trebuchet MS" w:cs="Trebuchet MS"/>
          <w:b/>
          <w:sz w:val="24"/>
          <w:szCs w:val="24"/>
          <w:lang w:val="es-ES"/>
        </w:rPr>
        <w:t>I</w:t>
      </w:r>
      <w:r w:rsidR="00D55765" w:rsidRPr="0064568E">
        <w:rPr>
          <w:rFonts w:ascii="Trebuchet MS" w:eastAsia="Trebuchet MS" w:hAnsi="Trebuchet MS" w:cs="Trebuchet MS"/>
          <w:b/>
          <w:sz w:val="24"/>
          <w:szCs w:val="24"/>
          <w:lang w:val="es-ES"/>
        </w:rPr>
        <w:t>CIO PARA LA PROTECCIÓN DE LOS DERECHOS POLÍTICO ELECTORALES DEL CIUDADANO CON NÚMERO DE EXPEDIENTE JDC-024/2021 EMITIDA POR EL TRIBUNAL ELECTORAL DEL ESTADO DE JALISCO.</w:t>
      </w:r>
    </w:p>
    <w:p w:rsidR="00F073C1" w:rsidRPr="0064568E" w:rsidRDefault="00F073C1" w:rsidP="0064568E">
      <w:pPr>
        <w:spacing w:after="0" w:line="240" w:lineRule="auto"/>
        <w:jc w:val="both"/>
        <w:rPr>
          <w:rFonts w:ascii="Trebuchet MS" w:eastAsia="Trebuchet MS" w:hAnsi="Trebuchet MS" w:cs="Trebuchet MS"/>
          <w:sz w:val="24"/>
          <w:szCs w:val="24"/>
        </w:rPr>
      </w:pPr>
    </w:p>
    <w:p w:rsidR="005667EC" w:rsidRPr="0064568E" w:rsidRDefault="002A34E0" w:rsidP="0064568E">
      <w:pPr>
        <w:spacing w:after="0" w:line="240" w:lineRule="auto"/>
        <w:jc w:val="both"/>
        <w:rPr>
          <w:rFonts w:ascii="Trebuchet MS" w:eastAsia="Trebuchet MS" w:hAnsi="Trebuchet MS" w:cs="Trebuchet MS"/>
          <w:sz w:val="24"/>
          <w:szCs w:val="24"/>
        </w:rPr>
      </w:pPr>
      <w:r w:rsidRPr="0064568E">
        <w:rPr>
          <w:rFonts w:ascii="Trebuchet MS" w:eastAsia="Trebuchet MS" w:hAnsi="Trebuchet MS" w:cs="Trebuchet MS"/>
          <w:sz w:val="24"/>
          <w:szCs w:val="24"/>
        </w:rPr>
        <w:t xml:space="preserve">Vistos para resolver los autos del expediente identificado con el número citado al rubro, formado con motivo del </w:t>
      </w:r>
      <w:r w:rsidRPr="0064568E">
        <w:rPr>
          <w:rFonts w:ascii="Trebuchet MS" w:eastAsia="Trebuchet MS" w:hAnsi="Trebuchet MS" w:cs="Trebuchet MS"/>
          <w:b/>
          <w:sz w:val="24"/>
          <w:szCs w:val="24"/>
        </w:rPr>
        <w:t xml:space="preserve">RECURSO DE REVISIÓN </w:t>
      </w:r>
      <w:r w:rsidRPr="0064568E">
        <w:rPr>
          <w:rFonts w:ascii="Trebuchet MS" w:eastAsia="Trebuchet MS" w:hAnsi="Trebuchet MS" w:cs="Trebuchet MS"/>
          <w:sz w:val="24"/>
          <w:szCs w:val="24"/>
        </w:rPr>
        <w:t xml:space="preserve">promovido por el ciudadano </w:t>
      </w:r>
      <w:r w:rsidR="002B71CE" w:rsidRPr="0064568E">
        <w:rPr>
          <w:rFonts w:ascii="Trebuchet MS" w:eastAsia="Trebuchet MS" w:hAnsi="Trebuchet MS" w:cs="Trebuchet MS"/>
          <w:b/>
          <w:color w:val="000000"/>
          <w:sz w:val="24"/>
          <w:szCs w:val="24"/>
        </w:rPr>
        <w:t>José de Jesús Rubio Balcázar</w:t>
      </w:r>
      <w:r w:rsidRPr="0064568E">
        <w:rPr>
          <w:rFonts w:ascii="Trebuchet MS" w:eastAsia="Trebuchet MS" w:hAnsi="Trebuchet MS" w:cs="Trebuchet MS"/>
          <w:sz w:val="24"/>
          <w:szCs w:val="24"/>
        </w:rPr>
        <w:t xml:space="preserve">, por derecho propio, en contra del </w:t>
      </w:r>
      <w:r w:rsidR="002B71CE" w:rsidRPr="0064568E">
        <w:rPr>
          <w:rFonts w:ascii="Trebuchet MS" w:eastAsia="Trebuchet MS" w:hAnsi="Trebuchet MS" w:cs="Trebuchet MS"/>
          <w:color w:val="000000"/>
          <w:sz w:val="24"/>
          <w:szCs w:val="24"/>
        </w:rPr>
        <w:t>oficio 2062/2021 de la Secretaría Ejecutiva del Instituto Electoral y de Participación Ciudadana del Estado de Jalisco, de fecha veinticuatro de febrero del presente año</w:t>
      </w:r>
      <w:r w:rsidRPr="0064568E">
        <w:rPr>
          <w:rFonts w:ascii="Trebuchet MS" w:eastAsia="Trebuchet MS" w:hAnsi="Trebuchet MS" w:cs="Trebuchet MS"/>
          <w:sz w:val="24"/>
          <w:szCs w:val="24"/>
        </w:rPr>
        <w:t>.</w:t>
      </w:r>
    </w:p>
    <w:p w:rsidR="00F073C1" w:rsidRPr="0064568E" w:rsidRDefault="00F073C1" w:rsidP="0064568E">
      <w:pPr>
        <w:spacing w:after="0" w:line="240" w:lineRule="auto"/>
        <w:rPr>
          <w:rFonts w:ascii="Trebuchet MS" w:eastAsia="Trebuchet MS" w:hAnsi="Trebuchet MS" w:cs="Trebuchet MS"/>
          <w:b/>
          <w:sz w:val="24"/>
          <w:szCs w:val="24"/>
        </w:rPr>
      </w:pPr>
    </w:p>
    <w:p w:rsidR="005667EC" w:rsidRPr="0064568E" w:rsidRDefault="002A34E0" w:rsidP="0064568E">
      <w:pPr>
        <w:spacing w:after="0" w:line="240" w:lineRule="auto"/>
        <w:jc w:val="center"/>
        <w:rPr>
          <w:rFonts w:ascii="Trebuchet MS" w:eastAsia="Trebuchet MS" w:hAnsi="Trebuchet MS" w:cs="Trebuchet MS"/>
          <w:b/>
          <w:sz w:val="24"/>
          <w:szCs w:val="24"/>
          <w:lang w:val="pt-BR"/>
        </w:rPr>
      </w:pPr>
      <w:r w:rsidRPr="0064568E">
        <w:rPr>
          <w:rFonts w:ascii="Trebuchet MS" w:eastAsia="Trebuchet MS" w:hAnsi="Trebuchet MS" w:cs="Trebuchet MS"/>
          <w:b/>
          <w:sz w:val="24"/>
          <w:szCs w:val="24"/>
          <w:lang w:val="pt-BR"/>
        </w:rPr>
        <w:t>A N T E C E D E N T E S</w:t>
      </w:r>
    </w:p>
    <w:p w:rsidR="005667EC" w:rsidRPr="0064568E" w:rsidRDefault="005667EC" w:rsidP="0064568E">
      <w:pPr>
        <w:spacing w:after="0" w:line="240" w:lineRule="auto"/>
        <w:jc w:val="both"/>
        <w:rPr>
          <w:rFonts w:ascii="Trebuchet MS" w:eastAsia="Trebuchet MS" w:hAnsi="Trebuchet MS" w:cs="Trebuchet MS"/>
          <w:b/>
          <w:sz w:val="24"/>
          <w:szCs w:val="24"/>
          <w:lang w:val="pt-BR"/>
        </w:rPr>
      </w:pPr>
    </w:p>
    <w:p w:rsidR="005667EC" w:rsidRPr="0064568E" w:rsidRDefault="002A34E0" w:rsidP="0064568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sidRPr="0064568E">
        <w:rPr>
          <w:rFonts w:ascii="Trebuchet MS" w:eastAsia="Trebuchet MS" w:hAnsi="Trebuchet MS" w:cs="Trebuchet MS"/>
          <w:b/>
          <w:color w:val="000000"/>
          <w:sz w:val="24"/>
          <w:szCs w:val="24"/>
        </w:rPr>
        <w:t xml:space="preserve">1. </w:t>
      </w:r>
      <w:r w:rsidR="00D55765" w:rsidRPr="0064568E">
        <w:rPr>
          <w:rFonts w:ascii="Trebuchet MS" w:eastAsia="Trebuchet MS" w:hAnsi="Trebuchet MS" w:cs="Trebuchet MS"/>
          <w:b/>
          <w:color w:val="000000"/>
          <w:sz w:val="24"/>
          <w:szCs w:val="24"/>
        </w:rPr>
        <w:t>ACTO IMPUGNADO.</w:t>
      </w:r>
      <w:r w:rsidR="00D55765" w:rsidRPr="0064568E">
        <w:rPr>
          <w:rFonts w:ascii="Trebuchet MS" w:eastAsia="Trebuchet MS" w:hAnsi="Trebuchet MS" w:cs="Trebuchet MS"/>
          <w:color w:val="000000"/>
          <w:sz w:val="24"/>
          <w:szCs w:val="24"/>
        </w:rPr>
        <w:t xml:space="preserve"> </w:t>
      </w:r>
      <w:r w:rsidR="00D55765" w:rsidRPr="0064568E">
        <w:rPr>
          <w:rFonts w:ascii="Trebuchet MS" w:eastAsia="Trebuchet MS" w:hAnsi="Trebuchet MS" w:cs="Trebuchet MS"/>
          <w:b/>
          <w:sz w:val="24"/>
          <w:szCs w:val="24"/>
        </w:rPr>
        <w:t xml:space="preserve"> </w:t>
      </w:r>
      <w:r w:rsidR="00D55765" w:rsidRPr="0064568E">
        <w:rPr>
          <w:rFonts w:ascii="Trebuchet MS" w:eastAsia="Trebuchet MS" w:hAnsi="Trebuchet MS" w:cs="Trebuchet MS"/>
          <w:sz w:val="24"/>
          <w:szCs w:val="24"/>
        </w:rPr>
        <w:t xml:space="preserve">El veinticuatro de febrero, el secretario ejecutivo del instituto emitió el oficio 2062/2021 mediante el cual hizo de conocimiento del actor, de la información recibida de parte de la Dirección Ejecutiva del Registro Federal de Electores del Instituto Nacional Electoral, correspondiente al número de apoyos ciudadanos y dispersión recabada por el aspirante a candidato independiente conforme a los datos contenidos en el Sistema de Captación y Verificación de Apoyo Ciudadano, una vez realizadas las verificaciones de apoyo ciudadano captado mediante la Aplicación Móvil y cédulas de respaldo. </w:t>
      </w:r>
    </w:p>
    <w:p w:rsidR="005667EC" w:rsidRPr="0064568E" w:rsidRDefault="005667EC" w:rsidP="0064568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5667EC" w:rsidRPr="0064568E" w:rsidRDefault="009B090A" w:rsidP="0064568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sidRPr="0064568E">
        <w:rPr>
          <w:rFonts w:ascii="Trebuchet MS" w:eastAsia="Trebuchet MS" w:hAnsi="Trebuchet MS" w:cs="Trebuchet MS"/>
          <w:b/>
          <w:color w:val="000000"/>
          <w:sz w:val="24"/>
          <w:szCs w:val="24"/>
        </w:rPr>
        <w:t>2</w:t>
      </w:r>
      <w:r w:rsidR="002A34E0" w:rsidRPr="0064568E">
        <w:rPr>
          <w:rFonts w:ascii="Trebuchet MS" w:eastAsia="Trebuchet MS" w:hAnsi="Trebuchet MS" w:cs="Trebuchet MS"/>
          <w:b/>
          <w:color w:val="000000"/>
          <w:sz w:val="24"/>
          <w:szCs w:val="24"/>
        </w:rPr>
        <w:t xml:space="preserve">. PRESENTACIÓN DE DEMANDA DE JUICIO PARA LA PROTECCIÓN DE LOS DERECHOS POLÍTICO ELECTORALES DEL CIUDADANO. </w:t>
      </w:r>
      <w:r w:rsidR="002A34E0" w:rsidRPr="0064568E">
        <w:rPr>
          <w:rFonts w:ascii="Trebuchet MS" w:eastAsia="Trebuchet MS" w:hAnsi="Trebuchet MS" w:cs="Trebuchet MS"/>
          <w:color w:val="000000"/>
          <w:sz w:val="24"/>
          <w:szCs w:val="24"/>
        </w:rPr>
        <w:t xml:space="preserve">El </w:t>
      </w:r>
      <w:r w:rsidRPr="0064568E">
        <w:rPr>
          <w:rFonts w:ascii="Trebuchet MS" w:eastAsia="Trebuchet MS" w:hAnsi="Trebuchet MS" w:cs="Trebuchet MS"/>
          <w:color w:val="000000"/>
          <w:sz w:val="24"/>
          <w:szCs w:val="24"/>
        </w:rPr>
        <w:t>cinco de marzo</w:t>
      </w:r>
      <w:r w:rsidR="002A34E0" w:rsidRPr="0064568E">
        <w:rPr>
          <w:rFonts w:ascii="Trebuchet MS" w:eastAsia="Trebuchet MS" w:hAnsi="Trebuchet MS" w:cs="Trebuchet MS"/>
          <w:color w:val="000000"/>
          <w:sz w:val="24"/>
          <w:szCs w:val="24"/>
        </w:rPr>
        <w:t xml:space="preserve">, el ciudadano </w:t>
      </w:r>
      <w:r w:rsidRPr="0064568E">
        <w:rPr>
          <w:rFonts w:ascii="Trebuchet MS" w:eastAsia="Trebuchet MS" w:hAnsi="Trebuchet MS" w:cs="Trebuchet MS"/>
          <w:color w:val="000000"/>
          <w:sz w:val="24"/>
          <w:szCs w:val="24"/>
        </w:rPr>
        <w:t>José de Jesús Rubio Balcázar</w:t>
      </w:r>
      <w:r w:rsidR="002A34E0" w:rsidRPr="0064568E">
        <w:rPr>
          <w:rFonts w:ascii="Trebuchet MS" w:eastAsia="Trebuchet MS" w:hAnsi="Trebuchet MS" w:cs="Trebuchet MS"/>
          <w:color w:val="000000"/>
          <w:sz w:val="24"/>
          <w:szCs w:val="24"/>
        </w:rPr>
        <w:t xml:space="preserve">, presentó demanda de juicio para la protección de los derechos político electorales del ciudadano, en contra del </w:t>
      </w:r>
      <w:r w:rsidRPr="0064568E">
        <w:rPr>
          <w:rFonts w:ascii="Trebuchet MS" w:eastAsia="Trebuchet MS" w:hAnsi="Trebuchet MS" w:cs="Trebuchet MS"/>
          <w:color w:val="000000"/>
          <w:sz w:val="24"/>
          <w:szCs w:val="24"/>
        </w:rPr>
        <w:t>oficio</w:t>
      </w:r>
      <w:r w:rsidR="002A34E0" w:rsidRPr="0064568E">
        <w:rPr>
          <w:rFonts w:ascii="Trebuchet MS" w:eastAsia="Trebuchet MS" w:hAnsi="Trebuchet MS" w:cs="Trebuchet MS"/>
          <w:color w:val="000000"/>
          <w:sz w:val="24"/>
          <w:szCs w:val="24"/>
        </w:rPr>
        <w:t xml:space="preserve"> referido en el punto </w:t>
      </w:r>
      <w:r w:rsidRPr="0064568E">
        <w:rPr>
          <w:rFonts w:ascii="Trebuchet MS" w:eastAsia="Trebuchet MS" w:hAnsi="Trebuchet MS" w:cs="Trebuchet MS"/>
          <w:color w:val="000000"/>
          <w:sz w:val="24"/>
          <w:szCs w:val="24"/>
        </w:rPr>
        <w:t>uno</w:t>
      </w:r>
      <w:r w:rsidR="002A34E0" w:rsidRPr="0064568E">
        <w:rPr>
          <w:rFonts w:ascii="Trebuchet MS" w:eastAsia="Trebuchet MS" w:hAnsi="Trebuchet MS" w:cs="Trebuchet MS"/>
          <w:color w:val="000000"/>
          <w:sz w:val="24"/>
          <w:szCs w:val="24"/>
        </w:rPr>
        <w:t xml:space="preserve"> de estos antecedentes. Seguido que fue el trámite del medio de impugnación, se remitió al Tribunal Electoral del Estado de Jalisco.</w:t>
      </w:r>
    </w:p>
    <w:p w:rsidR="005667EC" w:rsidRPr="0064568E" w:rsidRDefault="005667EC" w:rsidP="0064568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p>
    <w:p w:rsidR="005667EC" w:rsidRPr="0064568E" w:rsidRDefault="00670AED" w:rsidP="0064568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bookmarkStart w:id="0" w:name="_heading=h.gjdgxs" w:colFirst="0" w:colLast="0"/>
      <w:bookmarkEnd w:id="0"/>
      <w:r w:rsidRPr="0064568E">
        <w:rPr>
          <w:rFonts w:ascii="Trebuchet MS" w:eastAsia="Trebuchet MS" w:hAnsi="Trebuchet MS" w:cs="Trebuchet MS"/>
          <w:b/>
          <w:color w:val="000000"/>
          <w:sz w:val="24"/>
          <w:szCs w:val="24"/>
        </w:rPr>
        <w:t>3</w:t>
      </w:r>
      <w:r w:rsidR="002A34E0" w:rsidRPr="0064568E">
        <w:rPr>
          <w:rFonts w:ascii="Trebuchet MS" w:eastAsia="Trebuchet MS" w:hAnsi="Trebuchet MS" w:cs="Trebuchet MS"/>
          <w:b/>
          <w:color w:val="000000"/>
          <w:sz w:val="24"/>
          <w:szCs w:val="24"/>
        </w:rPr>
        <w:t xml:space="preserve">. REENCAUZAMIENTO. </w:t>
      </w:r>
      <w:r w:rsidR="002A34E0" w:rsidRPr="0064568E">
        <w:rPr>
          <w:rFonts w:ascii="Trebuchet MS" w:eastAsia="Trebuchet MS" w:hAnsi="Trebuchet MS" w:cs="Trebuchet MS"/>
          <w:color w:val="000000"/>
          <w:sz w:val="24"/>
          <w:szCs w:val="24"/>
        </w:rPr>
        <w:t xml:space="preserve">El día </w:t>
      </w:r>
      <w:r w:rsidRPr="0064568E">
        <w:rPr>
          <w:rFonts w:ascii="Trebuchet MS" w:eastAsia="Trebuchet MS" w:hAnsi="Trebuchet MS" w:cs="Trebuchet MS"/>
          <w:color w:val="000000"/>
          <w:sz w:val="24"/>
          <w:szCs w:val="24"/>
        </w:rPr>
        <w:t>diecisiete</w:t>
      </w:r>
      <w:r w:rsidR="002A34E0" w:rsidRPr="0064568E">
        <w:rPr>
          <w:rFonts w:ascii="Trebuchet MS" w:eastAsia="Trebuchet MS" w:hAnsi="Trebuchet MS" w:cs="Trebuchet MS"/>
          <w:color w:val="000000"/>
          <w:sz w:val="24"/>
          <w:szCs w:val="24"/>
        </w:rPr>
        <w:t xml:space="preserve"> de marzo, el Tribunal Electoral del Estado de Jalisco, dictó un acuerdo plenar</w:t>
      </w:r>
      <w:r w:rsidRPr="0064568E">
        <w:rPr>
          <w:rFonts w:ascii="Trebuchet MS" w:eastAsia="Trebuchet MS" w:hAnsi="Trebuchet MS" w:cs="Trebuchet MS"/>
          <w:color w:val="000000"/>
          <w:sz w:val="24"/>
          <w:szCs w:val="24"/>
        </w:rPr>
        <w:t>io dentro del expediente JDC-024</w:t>
      </w:r>
      <w:r w:rsidR="002A34E0" w:rsidRPr="0064568E">
        <w:rPr>
          <w:rFonts w:ascii="Trebuchet MS" w:eastAsia="Trebuchet MS" w:hAnsi="Trebuchet MS" w:cs="Trebuchet MS"/>
          <w:color w:val="000000"/>
          <w:sz w:val="24"/>
          <w:szCs w:val="24"/>
        </w:rPr>
        <w:t xml:space="preserve">/2021, mediante el cual declaró improcedente el juicio ciudadano y reencauzó el asunto a </w:t>
      </w:r>
      <w:r w:rsidR="002A34E0" w:rsidRPr="0064568E">
        <w:rPr>
          <w:rFonts w:ascii="Trebuchet MS" w:eastAsia="Trebuchet MS" w:hAnsi="Trebuchet MS" w:cs="Trebuchet MS"/>
          <w:b/>
          <w:color w:val="000000"/>
          <w:sz w:val="24"/>
          <w:szCs w:val="24"/>
        </w:rPr>
        <w:t>Recurso de Revisión</w:t>
      </w:r>
      <w:r w:rsidR="002A34E0" w:rsidRPr="0064568E">
        <w:rPr>
          <w:rFonts w:ascii="Trebuchet MS" w:eastAsia="Trebuchet MS" w:hAnsi="Trebuchet MS" w:cs="Trebuchet MS"/>
          <w:color w:val="000000"/>
          <w:sz w:val="24"/>
          <w:szCs w:val="24"/>
        </w:rPr>
        <w:t xml:space="preserve">, por considerar que su conocimiento y resolución compete a esta autoridad electoral administrativa, sin prejuzgar sobre los requisitos de procedencia del medio de impugnación ni sobre el estudio del fondo que le corresponda. </w:t>
      </w:r>
      <w:r w:rsidRPr="0064568E">
        <w:rPr>
          <w:rFonts w:ascii="Trebuchet MS" w:eastAsia="Trebuchet MS" w:hAnsi="Trebuchet MS" w:cs="Trebuchet MS"/>
          <w:color w:val="000000"/>
          <w:sz w:val="24"/>
          <w:szCs w:val="24"/>
        </w:rPr>
        <w:t>El día siguiente</w:t>
      </w:r>
      <w:r w:rsidR="002A34E0" w:rsidRPr="0064568E">
        <w:rPr>
          <w:rFonts w:ascii="Trebuchet MS" w:eastAsia="Trebuchet MS" w:hAnsi="Trebuchet MS" w:cs="Trebuchet MS"/>
          <w:color w:val="000000"/>
          <w:sz w:val="24"/>
          <w:szCs w:val="24"/>
        </w:rPr>
        <w:t xml:space="preserve"> se remitió a este instituto en vía de notificación dicha sentencia</w:t>
      </w:r>
      <w:r w:rsidR="002A34E0" w:rsidRPr="0064568E">
        <w:rPr>
          <w:rFonts w:ascii="Trebuchet MS" w:eastAsia="Trebuchet MS" w:hAnsi="Trebuchet MS" w:cs="Trebuchet MS"/>
          <w:sz w:val="24"/>
          <w:szCs w:val="24"/>
        </w:rPr>
        <w:t xml:space="preserve"> y se hizo llegar el escrito de medio de impugnación.</w:t>
      </w:r>
    </w:p>
    <w:p w:rsidR="005667EC" w:rsidRPr="0064568E" w:rsidRDefault="005667EC" w:rsidP="0064568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5667EC" w:rsidRPr="0064568E" w:rsidRDefault="00670AED" w:rsidP="0064568E">
      <w:pPr>
        <w:widowControl w:val="0"/>
        <w:shd w:val="clear" w:color="auto" w:fill="FFFFFF"/>
        <w:spacing w:line="240" w:lineRule="auto"/>
        <w:ind w:right="74"/>
        <w:jc w:val="both"/>
        <w:rPr>
          <w:rFonts w:ascii="Trebuchet MS" w:eastAsia="Trebuchet MS" w:hAnsi="Trebuchet MS" w:cs="Trebuchet MS"/>
          <w:sz w:val="24"/>
          <w:szCs w:val="24"/>
        </w:rPr>
      </w:pPr>
      <w:r w:rsidRPr="0064568E">
        <w:rPr>
          <w:rFonts w:ascii="Trebuchet MS" w:eastAsia="Trebuchet MS" w:hAnsi="Trebuchet MS" w:cs="Trebuchet MS"/>
          <w:b/>
          <w:sz w:val="24"/>
          <w:szCs w:val="24"/>
        </w:rPr>
        <w:t xml:space="preserve">4. </w:t>
      </w:r>
      <w:r w:rsidR="00F67F10" w:rsidRPr="0064568E">
        <w:rPr>
          <w:rFonts w:ascii="Trebuchet MS" w:eastAsia="Trebuchet MS" w:hAnsi="Trebuchet MS" w:cs="Trebuchet MS"/>
          <w:b/>
          <w:sz w:val="24"/>
          <w:szCs w:val="24"/>
        </w:rPr>
        <w:t>RADICACI</w:t>
      </w:r>
      <w:r w:rsidRPr="0064568E">
        <w:rPr>
          <w:rFonts w:ascii="Trebuchet MS" w:eastAsia="Trebuchet MS" w:hAnsi="Trebuchet MS" w:cs="Trebuchet MS"/>
          <w:b/>
          <w:sz w:val="24"/>
          <w:szCs w:val="24"/>
        </w:rPr>
        <w:t>Ó</w:t>
      </w:r>
      <w:r w:rsidR="002A34E0" w:rsidRPr="0064568E">
        <w:rPr>
          <w:rFonts w:ascii="Trebuchet MS" w:eastAsia="Trebuchet MS" w:hAnsi="Trebuchet MS" w:cs="Trebuchet MS"/>
          <w:b/>
          <w:sz w:val="24"/>
          <w:szCs w:val="24"/>
        </w:rPr>
        <w:t xml:space="preserve">N DE RECURSO DE REVISIÓN. </w:t>
      </w:r>
      <w:r w:rsidR="002A34E0" w:rsidRPr="0064568E">
        <w:rPr>
          <w:rFonts w:ascii="Trebuchet MS" w:eastAsia="Trebuchet MS" w:hAnsi="Trebuchet MS" w:cs="Trebuchet MS"/>
          <w:sz w:val="24"/>
          <w:szCs w:val="24"/>
        </w:rPr>
        <w:t xml:space="preserve">El </w:t>
      </w:r>
      <w:r w:rsidRPr="0064568E">
        <w:rPr>
          <w:rFonts w:ascii="Trebuchet MS" w:eastAsia="Trebuchet MS" w:hAnsi="Trebuchet MS" w:cs="Trebuchet MS"/>
          <w:sz w:val="24"/>
          <w:szCs w:val="24"/>
        </w:rPr>
        <w:t>veinte</w:t>
      </w:r>
      <w:r w:rsidR="002A34E0" w:rsidRPr="0064568E">
        <w:rPr>
          <w:rFonts w:ascii="Trebuchet MS" w:eastAsia="Trebuchet MS" w:hAnsi="Trebuchet MS" w:cs="Trebuchet MS"/>
          <w:sz w:val="24"/>
          <w:szCs w:val="24"/>
        </w:rPr>
        <w:t xml:space="preserve"> de marzo, se dictó acuerdo administrativo que </w:t>
      </w:r>
      <w:r w:rsidR="00F67F10" w:rsidRPr="0064568E">
        <w:rPr>
          <w:rFonts w:ascii="Trebuchet MS" w:eastAsia="Trebuchet MS" w:hAnsi="Trebuchet MS" w:cs="Trebuchet MS"/>
          <w:sz w:val="24"/>
          <w:szCs w:val="24"/>
        </w:rPr>
        <w:t>radicó</w:t>
      </w:r>
      <w:r w:rsidR="002A34E0" w:rsidRPr="0064568E">
        <w:rPr>
          <w:rFonts w:ascii="Trebuchet MS" w:eastAsia="Trebuchet MS" w:hAnsi="Trebuchet MS" w:cs="Trebuchet MS"/>
          <w:sz w:val="24"/>
          <w:szCs w:val="24"/>
        </w:rPr>
        <w:t xml:space="preserve"> el presente recurso; y se reservaron actuaciones para que el Consejo General resuelva lo conducente. </w:t>
      </w:r>
    </w:p>
    <w:p w:rsidR="005667EC" w:rsidRPr="0064568E" w:rsidRDefault="002A34E0" w:rsidP="0064568E">
      <w:pPr>
        <w:spacing w:after="0" w:line="240" w:lineRule="auto"/>
        <w:jc w:val="center"/>
        <w:rPr>
          <w:rFonts w:ascii="Trebuchet MS" w:eastAsia="Trebuchet MS" w:hAnsi="Trebuchet MS" w:cs="Trebuchet MS"/>
          <w:b/>
          <w:sz w:val="24"/>
          <w:szCs w:val="24"/>
          <w:lang w:val="pt-BR"/>
        </w:rPr>
      </w:pPr>
      <w:r w:rsidRPr="0064568E">
        <w:rPr>
          <w:rFonts w:ascii="Trebuchet MS" w:eastAsia="Trebuchet MS" w:hAnsi="Trebuchet MS" w:cs="Trebuchet MS"/>
          <w:b/>
          <w:sz w:val="24"/>
          <w:szCs w:val="24"/>
          <w:lang w:val="pt-BR"/>
        </w:rPr>
        <w:t>C O N S I D E R A C I O N E S</w:t>
      </w:r>
    </w:p>
    <w:p w:rsidR="005667EC" w:rsidRPr="0064568E" w:rsidRDefault="005667EC" w:rsidP="0064568E">
      <w:pPr>
        <w:spacing w:after="0" w:line="240" w:lineRule="auto"/>
        <w:jc w:val="center"/>
        <w:rPr>
          <w:rFonts w:ascii="Trebuchet MS" w:eastAsia="Trebuchet MS" w:hAnsi="Trebuchet MS" w:cs="Trebuchet MS"/>
          <w:sz w:val="24"/>
          <w:szCs w:val="24"/>
          <w:lang w:val="pt-BR"/>
        </w:rPr>
      </w:pPr>
    </w:p>
    <w:p w:rsidR="00C93695" w:rsidRPr="0064568E" w:rsidRDefault="00C93695" w:rsidP="0064568E">
      <w:pPr>
        <w:pStyle w:val="Default"/>
        <w:jc w:val="both"/>
      </w:pPr>
      <w:r w:rsidRPr="0064568E">
        <w:rPr>
          <w:b/>
          <w:bCs/>
        </w:rPr>
        <w:t>I. COMPETENCIA</w:t>
      </w:r>
      <w:r w:rsidRPr="0064568E">
        <w:t xml:space="preserve">. El Consejo General del instituto es competente para conocer y resolver el presente recurso, porque se controvierte el oficio 2062/2021, emitido por la Secretaría Ejecutiva de este instituto, de conformidad con lo establecido por los artículos 580 al 584 del Código Electoral del Estado de Jalisco. </w:t>
      </w:r>
    </w:p>
    <w:p w:rsidR="00C93695" w:rsidRPr="0064568E" w:rsidRDefault="00C93695" w:rsidP="0064568E">
      <w:pPr>
        <w:pStyle w:val="Default"/>
        <w:jc w:val="both"/>
        <w:rPr>
          <w:b/>
          <w:bCs/>
        </w:rPr>
      </w:pPr>
    </w:p>
    <w:p w:rsidR="00C93695" w:rsidRPr="0064568E" w:rsidRDefault="00C93695" w:rsidP="0064568E">
      <w:pPr>
        <w:pStyle w:val="Default"/>
        <w:jc w:val="both"/>
      </w:pPr>
      <w:r w:rsidRPr="0064568E">
        <w:rPr>
          <w:b/>
          <w:bCs/>
        </w:rPr>
        <w:t xml:space="preserve">II. DESECHAMIENTO. </w:t>
      </w:r>
      <w:r w:rsidRPr="0064568E">
        <w:t xml:space="preserve">Esta autoridad administrativa advierte que en el presente asunto se actualiza la causal de improcedencia por extemporaneidad de acuerdo a lo establecido en el artículo 509, párrafo 1, fracción IV del Código Electoral del Estado de Jalisco, al no haberse presentado el medio de impugnación dentro de los plazos señalados en la normatividad electoral. </w:t>
      </w:r>
    </w:p>
    <w:p w:rsidR="00C93695" w:rsidRPr="0064568E" w:rsidRDefault="00C93695" w:rsidP="0064568E">
      <w:pPr>
        <w:pStyle w:val="Default"/>
        <w:jc w:val="both"/>
      </w:pPr>
    </w:p>
    <w:p w:rsidR="00C93695" w:rsidRPr="0064568E" w:rsidRDefault="00C93695" w:rsidP="0064568E">
      <w:pPr>
        <w:pStyle w:val="Default"/>
        <w:jc w:val="both"/>
      </w:pPr>
      <w:r w:rsidRPr="0064568E">
        <w:t>Lo anterior, toda vez que de las constancias que integran el expediente de este recurso de revisión se advierte que el acto que impugna el ahora recurrente le fue notificado el día veinticuatro de febrero del presente año y la demanda por la que interpuso el medio de impugnación se presentó hasta el cinco de marzo del año en curso.</w:t>
      </w:r>
    </w:p>
    <w:p w:rsidR="00C93695" w:rsidRPr="0064568E" w:rsidRDefault="00C93695" w:rsidP="0064568E">
      <w:pPr>
        <w:pStyle w:val="Default"/>
        <w:jc w:val="both"/>
      </w:pPr>
    </w:p>
    <w:p w:rsidR="00C93695" w:rsidRPr="0064568E" w:rsidRDefault="00C93695" w:rsidP="0064568E">
      <w:pPr>
        <w:pStyle w:val="Default"/>
        <w:jc w:val="both"/>
      </w:pPr>
      <w:r w:rsidRPr="00256859">
        <w:t>En primer término, debe precisarse que de conformidad con el artículo 505 durante los procesos electorales todos los días y horas son hábiles.</w:t>
      </w:r>
    </w:p>
    <w:p w:rsidR="00C93695" w:rsidRPr="0064568E" w:rsidRDefault="00C93695" w:rsidP="0064568E">
      <w:pPr>
        <w:pStyle w:val="Default"/>
        <w:jc w:val="both"/>
      </w:pPr>
    </w:p>
    <w:p w:rsidR="00C93695" w:rsidRPr="0064568E" w:rsidRDefault="00C93695" w:rsidP="0064568E">
      <w:pPr>
        <w:pStyle w:val="Default"/>
        <w:jc w:val="both"/>
      </w:pPr>
      <w:r w:rsidRPr="0064568E">
        <w:t>Ahora</w:t>
      </w:r>
      <w:bookmarkStart w:id="1" w:name="_GoBack"/>
      <w:bookmarkEnd w:id="1"/>
      <w:r w:rsidRPr="0064568E">
        <w:t xml:space="preserve"> bien, conforme al numeral 583 del Código Electoral del Estado de Jalisco, los Recursos de Revisión, cuentan con una regla especial para la presentación del mismo, por lo que deberán interponerse en un plazo de tres días, tal como se transcribe a continuación: </w:t>
      </w:r>
    </w:p>
    <w:p w:rsidR="00C93695" w:rsidRPr="0064568E" w:rsidRDefault="00C93695" w:rsidP="0064568E">
      <w:pPr>
        <w:pStyle w:val="Default"/>
        <w:jc w:val="both"/>
      </w:pPr>
    </w:p>
    <w:p w:rsidR="00C93695" w:rsidRPr="0064568E" w:rsidRDefault="00C93695" w:rsidP="0064568E">
      <w:pPr>
        <w:pStyle w:val="Default"/>
        <w:jc w:val="both"/>
      </w:pPr>
      <w:r w:rsidRPr="0064568E">
        <w:rPr>
          <w:b/>
          <w:bCs/>
          <w:i/>
          <w:iCs/>
        </w:rPr>
        <w:t>“… Artículo 583</w:t>
      </w:r>
      <w:r w:rsidRPr="0064568E">
        <w:rPr>
          <w:i/>
          <w:iCs/>
        </w:rPr>
        <w:t xml:space="preserve">. </w:t>
      </w:r>
    </w:p>
    <w:p w:rsidR="00C93695" w:rsidRPr="0064568E" w:rsidRDefault="00C93695" w:rsidP="0064568E">
      <w:pPr>
        <w:pStyle w:val="Default"/>
        <w:jc w:val="both"/>
      </w:pPr>
      <w:r w:rsidRPr="0064568E">
        <w:rPr>
          <w:i/>
          <w:iCs/>
        </w:rPr>
        <w:t xml:space="preserve">1. El recurso de revisión deberá interponerse dentro de los tres días siguientes a aquél en que se hubiese notificado el acto o la resolución que se recurra. …” </w:t>
      </w:r>
    </w:p>
    <w:p w:rsidR="00C93695" w:rsidRPr="0064568E" w:rsidRDefault="00C93695" w:rsidP="0064568E">
      <w:pPr>
        <w:pStyle w:val="Default"/>
        <w:jc w:val="both"/>
      </w:pPr>
    </w:p>
    <w:p w:rsidR="00C93695" w:rsidRPr="0064568E" w:rsidRDefault="00C93695" w:rsidP="0064568E">
      <w:pPr>
        <w:pStyle w:val="Default"/>
        <w:jc w:val="both"/>
      </w:pPr>
      <w:r w:rsidRPr="0064568E">
        <w:t>Ahora bien, si el acto impugnado le fue notificado el día veinticuatro de febrero, el plazo para presentar el Recurso de Revisión fenecía el veintisiete de febrero, sin embargo el medio impugnativo fue presentado hasta el cinco de marzo, rebasando el plazo por seis días.</w:t>
      </w:r>
    </w:p>
    <w:p w:rsidR="00C93695" w:rsidRPr="0064568E" w:rsidRDefault="00C93695" w:rsidP="0064568E">
      <w:pPr>
        <w:pStyle w:val="Default"/>
      </w:pPr>
    </w:p>
    <w:p w:rsidR="00C93695" w:rsidRPr="0064568E" w:rsidRDefault="00C93695" w:rsidP="0064568E">
      <w:pPr>
        <w:pStyle w:val="Default"/>
        <w:jc w:val="both"/>
        <w:rPr>
          <w:lang w:val="pt-BR"/>
        </w:rPr>
      </w:pPr>
      <w:r w:rsidRPr="0064568E">
        <w:lastRenderedPageBreak/>
        <w:t xml:space="preserve">Así, al haberse declarado improcedente el presente medio de impugnación, lo conducente es desecharlo. </w:t>
      </w:r>
      <w:r w:rsidRPr="0064568E">
        <w:rPr>
          <w:lang w:val="pt-BR"/>
        </w:rPr>
        <w:t>Por lo que este Instituto</w:t>
      </w:r>
    </w:p>
    <w:p w:rsidR="00F073C1" w:rsidRPr="0064568E" w:rsidRDefault="00F073C1" w:rsidP="0064568E">
      <w:pPr>
        <w:spacing w:line="240" w:lineRule="auto"/>
        <w:jc w:val="center"/>
        <w:rPr>
          <w:rFonts w:ascii="Trebuchet MS" w:eastAsia="Trebuchet MS" w:hAnsi="Trebuchet MS" w:cs="Trebuchet MS"/>
          <w:b/>
          <w:sz w:val="24"/>
          <w:szCs w:val="24"/>
          <w:lang w:val="pt-BR"/>
        </w:rPr>
      </w:pPr>
    </w:p>
    <w:p w:rsidR="00F073C1" w:rsidRPr="0064568E" w:rsidRDefault="002A34E0" w:rsidP="0064568E">
      <w:pPr>
        <w:spacing w:line="240" w:lineRule="auto"/>
        <w:jc w:val="center"/>
        <w:rPr>
          <w:rFonts w:ascii="Trebuchet MS" w:eastAsia="Trebuchet MS" w:hAnsi="Trebuchet MS" w:cs="Trebuchet MS"/>
          <w:b/>
          <w:sz w:val="24"/>
          <w:szCs w:val="24"/>
          <w:lang w:val="pt-BR"/>
        </w:rPr>
      </w:pPr>
      <w:r w:rsidRPr="0064568E">
        <w:rPr>
          <w:rFonts w:ascii="Trebuchet MS" w:eastAsia="Trebuchet MS" w:hAnsi="Trebuchet MS" w:cs="Trebuchet MS"/>
          <w:b/>
          <w:sz w:val="24"/>
          <w:szCs w:val="24"/>
          <w:lang w:val="pt-BR"/>
        </w:rPr>
        <w:t>R E S U E L V E:</w:t>
      </w:r>
    </w:p>
    <w:p w:rsidR="005667EC" w:rsidRPr="0064568E" w:rsidRDefault="002A34E0" w:rsidP="0064568E">
      <w:pPr>
        <w:spacing w:line="240" w:lineRule="auto"/>
        <w:jc w:val="both"/>
        <w:rPr>
          <w:rFonts w:ascii="Trebuchet MS" w:eastAsia="Trebuchet MS" w:hAnsi="Trebuchet MS" w:cs="Trebuchet MS"/>
          <w:sz w:val="24"/>
          <w:szCs w:val="24"/>
        </w:rPr>
      </w:pPr>
      <w:r w:rsidRPr="0064568E">
        <w:rPr>
          <w:rFonts w:ascii="Trebuchet MS" w:eastAsia="Trebuchet MS" w:hAnsi="Trebuchet MS" w:cs="Trebuchet MS"/>
          <w:b/>
          <w:sz w:val="24"/>
          <w:szCs w:val="24"/>
        </w:rPr>
        <w:t>Primero.</w:t>
      </w:r>
      <w:r w:rsidRPr="0064568E">
        <w:rPr>
          <w:rFonts w:ascii="Trebuchet MS" w:eastAsia="Trebuchet MS" w:hAnsi="Trebuchet MS" w:cs="Trebuchet MS"/>
          <w:sz w:val="24"/>
          <w:szCs w:val="24"/>
        </w:rPr>
        <w:t xml:space="preserve"> Se </w:t>
      </w:r>
      <w:r w:rsidR="00747A11" w:rsidRPr="0064568E">
        <w:rPr>
          <w:rFonts w:ascii="Trebuchet MS" w:eastAsia="Trebuchet MS" w:hAnsi="Trebuchet MS" w:cs="Trebuchet MS"/>
          <w:sz w:val="24"/>
          <w:szCs w:val="24"/>
        </w:rPr>
        <w:t>desecha el presente medio de impugnación</w:t>
      </w:r>
      <w:r w:rsidRPr="0064568E">
        <w:rPr>
          <w:rFonts w:ascii="Trebuchet MS" w:eastAsia="Trebuchet MS" w:hAnsi="Trebuchet MS" w:cs="Trebuchet MS"/>
          <w:sz w:val="24"/>
          <w:szCs w:val="24"/>
        </w:rPr>
        <w:t>.</w:t>
      </w:r>
    </w:p>
    <w:p w:rsidR="005667EC" w:rsidRPr="0064568E" w:rsidRDefault="000B4FFA" w:rsidP="0064568E">
      <w:pPr>
        <w:spacing w:line="240" w:lineRule="auto"/>
        <w:jc w:val="both"/>
        <w:rPr>
          <w:rFonts w:ascii="Trebuchet MS" w:eastAsia="Trebuchet MS" w:hAnsi="Trebuchet MS" w:cs="Trebuchet MS"/>
          <w:sz w:val="24"/>
          <w:szCs w:val="24"/>
        </w:rPr>
      </w:pPr>
      <w:r w:rsidRPr="0064568E">
        <w:rPr>
          <w:rFonts w:ascii="Trebuchet MS" w:eastAsia="Trebuchet MS" w:hAnsi="Trebuchet MS" w:cs="Trebuchet MS"/>
          <w:b/>
          <w:sz w:val="24"/>
          <w:szCs w:val="24"/>
        </w:rPr>
        <w:t xml:space="preserve">Segundo. </w:t>
      </w:r>
      <w:r w:rsidR="002A34E0" w:rsidRPr="0064568E">
        <w:rPr>
          <w:rFonts w:ascii="Trebuchet MS" w:eastAsia="Trebuchet MS" w:hAnsi="Trebuchet MS" w:cs="Trebuchet MS"/>
          <w:sz w:val="24"/>
          <w:szCs w:val="24"/>
        </w:rPr>
        <w:t xml:space="preserve">Notifíquese personalmente al promovente. </w:t>
      </w:r>
    </w:p>
    <w:p w:rsidR="00F073C1" w:rsidRPr="0064568E" w:rsidRDefault="000B4FFA" w:rsidP="0064568E">
      <w:pPr>
        <w:spacing w:after="0" w:line="240" w:lineRule="auto"/>
        <w:jc w:val="both"/>
        <w:rPr>
          <w:rFonts w:ascii="Trebuchet MS" w:eastAsia="Trebuchet MS" w:hAnsi="Trebuchet MS" w:cs="Trebuchet MS"/>
          <w:sz w:val="24"/>
          <w:szCs w:val="24"/>
        </w:rPr>
      </w:pPr>
      <w:r w:rsidRPr="0064568E">
        <w:rPr>
          <w:rFonts w:ascii="Trebuchet MS" w:eastAsia="Trebuchet MS" w:hAnsi="Trebuchet MS" w:cs="Trebuchet MS"/>
          <w:b/>
          <w:sz w:val="24"/>
          <w:szCs w:val="24"/>
        </w:rPr>
        <w:t>Tercero.</w:t>
      </w:r>
      <w:r w:rsidRPr="0064568E">
        <w:rPr>
          <w:rFonts w:ascii="Trebuchet MS" w:eastAsia="Trebuchet MS" w:hAnsi="Trebuchet MS" w:cs="Trebuchet MS"/>
          <w:sz w:val="24"/>
          <w:szCs w:val="24"/>
        </w:rPr>
        <w:t xml:space="preserve"> </w:t>
      </w:r>
      <w:r w:rsidR="00F073C1" w:rsidRPr="0064568E">
        <w:rPr>
          <w:rFonts w:ascii="Trebuchet MS" w:eastAsia="Trebuchet MS" w:hAnsi="Trebuchet MS" w:cs="Trebuchet MS"/>
          <w:sz w:val="24"/>
          <w:szCs w:val="24"/>
        </w:rPr>
        <w:t>Notifíquese la presente resolución al Tribunal Electoral del Estado de Jalisco, a efecto de hacer de su conocimiento el cumplimento dado a la resolución del Juicio para la Protección de los Derechos Político Electorales del Ciudadano con número de expediente JDC-024/2021.</w:t>
      </w:r>
    </w:p>
    <w:p w:rsidR="00F073C1" w:rsidRPr="0064568E" w:rsidRDefault="00F073C1" w:rsidP="0064568E">
      <w:pPr>
        <w:spacing w:after="0" w:line="240" w:lineRule="auto"/>
        <w:jc w:val="both"/>
        <w:rPr>
          <w:rFonts w:ascii="Trebuchet MS" w:eastAsia="Trebuchet MS" w:hAnsi="Trebuchet MS" w:cs="Trebuchet MS"/>
          <w:sz w:val="24"/>
          <w:szCs w:val="24"/>
        </w:rPr>
      </w:pPr>
    </w:p>
    <w:p w:rsidR="005667EC" w:rsidRPr="0064568E" w:rsidRDefault="00F073C1" w:rsidP="0064568E">
      <w:pPr>
        <w:spacing w:after="0" w:line="240" w:lineRule="auto"/>
        <w:jc w:val="both"/>
        <w:rPr>
          <w:rFonts w:ascii="Trebuchet MS" w:eastAsia="Trebuchet MS" w:hAnsi="Trebuchet MS" w:cs="Trebuchet MS"/>
          <w:sz w:val="24"/>
          <w:szCs w:val="24"/>
        </w:rPr>
      </w:pPr>
      <w:r w:rsidRPr="0064568E">
        <w:rPr>
          <w:rFonts w:ascii="Trebuchet MS" w:eastAsia="Trebuchet MS" w:hAnsi="Trebuchet MS" w:cs="Trebuchet MS"/>
          <w:b/>
          <w:sz w:val="24"/>
          <w:szCs w:val="24"/>
        </w:rPr>
        <w:t>Cuarto</w:t>
      </w:r>
      <w:r w:rsidRPr="0064568E">
        <w:rPr>
          <w:rFonts w:ascii="Trebuchet MS" w:eastAsia="Trebuchet MS" w:hAnsi="Trebuchet MS" w:cs="Trebuchet MS"/>
          <w:sz w:val="24"/>
          <w:szCs w:val="24"/>
        </w:rPr>
        <w:t xml:space="preserve">. </w:t>
      </w:r>
      <w:r w:rsidR="002A34E0" w:rsidRPr="0064568E">
        <w:rPr>
          <w:rFonts w:ascii="Trebuchet MS" w:eastAsia="Trebuchet MS" w:hAnsi="Trebuchet MS" w:cs="Trebuchet MS"/>
          <w:sz w:val="24"/>
          <w:szCs w:val="24"/>
        </w:rPr>
        <w:t>Publíquese la presente resolución en el portal oficial de internet de este organismo.</w:t>
      </w:r>
    </w:p>
    <w:p w:rsidR="00F073C1" w:rsidRPr="0064568E" w:rsidRDefault="00F073C1" w:rsidP="0064568E">
      <w:pPr>
        <w:spacing w:after="0" w:line="240" w:lineRule="auto"/>
        <w:jc w:val="both"/>
        <w:rPr>
          <w:rFonts w:ascii="Trebuchet MS" w:eastAsia="Trebuchet MS" w:hAnsi="Trebuchet MS" w:cs="Trebuchet MS"/>
          <w:b/>
          <w:sz w:val="24"/>
          <w:szCs w:val="24"/>
        </w:rPr>
      </w:pPr>
    </w:p>
    <w:p w:rsidR="005667EC" w:rsidRPr="0064568E" w:rsidRDefault="00F073C1" w:rsidP="0064568E">
      <w:pPr>
        <w:spacing w:after="0" w:line="240" w:lineRule="auto"/>
        <w:jc w:val="both"/>
        <w:rPr>
          <w:rFonts w:ascii="Trebuchet MS" w:eastAsia="Trebuchet MS" w:hAnsi="Trebuchet MS" w:cs="Trebuchet MS"/>
          <w:sz w:val="24"/>
          <w:szCs w:val="24"/>
        </w:rPr>
      </w:pPr>
      <w:r w:rsidRPr="0064568E">
        <w:rPr>
          <w:rFonts w:ascii="Trebuchet MS" w:eastAsia="Trebuchet MS" w:hAnsi="Trebuchet MS" w:cs="Trebuchet MS"/>
          <w:b/>
          <w:sz w:val="24"/>
          <w:szCs w:val="24"/>
        </w:rPr>
        <w:t>Quinto</w:t>
      </w:r>
      <w:r w:rsidR="002A34E0" w:rsidRPr="0064568E">
        <w:rPr>
          <w:rFonts w:ascii="Trebuchet MS" w:eastAsia="Trebuchet MS" w:hAnsi="Trebuchet MS" w:cs="Trebuchet MS"/>
          <w:b/>
          <w:sz w:val="24"/>
          <w:szCs w:val="24"/>
        </w:rPr>
        <w:t>.</w:t>
      </w:r>
      <w:r w:rsidR="002A34E0" w:rsidRPr="0064568E">
        <w:rPr>
          <w:rFonts w:ascii="Trebuchet MS" w:eastAsia="Trebuchet MS" w:hAnsi="Trebuchet MS" w:cs="Trebuchet MS"/>
          <w:sz w:val="24"/>
          <w:szCs w:val="24"/>
        </w:rPr>
        <w:t xml:space="preserve"> En su oportunidad, archívese el presente expediente como asunto concluido.</w:t>
      </w:r>
    </w:p>
    <w:p w:rsidR="005667EC" w:rsidRPr="0064568E" w:rsidRDefault="005667EC" w:rsidP="0064568E">
      <w:pPr>
        <w:spacing w:after="0" w:line="240" w:lineRule="auto"/>
        <w:jc w:val="both"/>
        <w:rPr>
          <w:rFonts w:ascii="Trebuchet MS" w:eastAsia="Trebuchet MS" w:hAnsi="Trebuchet MS" w:cs="Trebuchet MS"/>
          <w:sz w:val="24"/>
          <w:szCs w:val="24"/>
        </w:rPr>
      </w:pPr>
    </w:p>
    <w:p w:rsidR="005667EC" w:rsidRPr="0064568E" w:rsidRDefault="00E47CF4" w:rsidP="0064568E">
      <w:pPr>
        <w:spacing w:after="0" w:line="240" w:lineRule="auto"/>
        <w:jc w:val="center"/>
        <w:rPr>
          <w:rFonts w:ascii="Trebuchet MS" w:eastAsia="Trebuchet MS" w:hAnsi="Trebuchet MS" w:cs="Trebuchet MS"/>
          <w:b/>
          <w:sz w:val="24"/>
          <w:szCs w:val="24"/>
        </w:rPr>
      </w:pPr>
      <w:r w:rsidRPr="0064568E">
        <w:rPr>
          <w:rFonts w:ascii="Trebuchet MS" w:eastAsia="Trebuchet MS" w:hAnsi="Trebuchet MS" w:cs="Trebuchet MS"/>
          <w:b/>
          <w:sz w:val="24"/>
          <w:szCs w:val="24"/>
        </w:rPr>
        <w:t>Guadalajara, Jalisco, 20</w:t>
      </w:r>
      <w:r w:rsidR="002A34E0" w:rsidRPr="0064568E">
        <w:rPr>
          <w:rFonts w:ascii="Trebuchet MS" w:eastAsia="Trebuchet MS" w:hAnsi="Trebuchet MS" w:cs="Trebuchet MS"/>
          <w:b/>
          <w:sz w:val="24"/>
          <w:szCs w:val="24"/>
        </w:rPr>
        <w:t xml:space="preserve"> de marzo de 2021.</w:t>
      </w:r>
    </w:p>
    <w:p w:rsidR="005667EC" w:rsidRPr="0064568E" w:rsidRDefault="005667EC" w:rsidP="0064568E">
      <w:pPr>
        <w:spacing w:after="0" w:line="240" w:lineRule="auto"/>
        <w:jc w:val="center"/>
        <w:rPr>
          <w:rFonts w:ascii="Trebuchet MS" w:eastAsia="Trebuchet MS" w:hAnsi="Trebuchet MS" w:cs="Trebuchet MS"/>
          <w:b/>
          <w:sz w:val="24"/>
          <w:szCs w:val="24"/>
        </w:rPr>
      </w:pPr>
    </w:p>
    <w:p w:rsidR="00C93695" w:rsidRPr="0064568E" w:rsidRDefault="00C93695" w:rsidP="0064568E">
      <w:pPr>
        <w:spacing w:after="0" w:line="240" w:lineRule="auto"/>
        <w:jc w:val="center"/>
        <w:rPr>
          <w:rFonts w:ascii="Trebuchet MS" w:eastAsia="Trebuchet MS" w:hAnsi="Trebuchet MS" w:cs="Trebuchet MS"/>
          <w:b/>
          <w:sz w:val="24"/>
          <w:szCs w:val="24"/>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5667EC" w:rsidRPr="0064568E">
        <w:tc>
          <w:tcPr>
            <w:tcW w:w="5677" w:type="dxa"/>
            <w:shd w:val="clear" w:color="auto" w:fill="auto"/>
          </w:tcPr>
          <w:p w:rsidR="005667EC" w:rsidRPr="0064568E" w:rsidRDefault="005667EC" w:rsidP="0064568E">
            <w:pPr>
              <w:spacing w:after="0" w:line="240" w:lineRule="auto"/>
              <w:jc w:val="center"/>
              <w:rPr>
                <w:rFonts w:ascii="Trebuchet MS" w:eastAsia="Trebuchet MS" w:hAnsi="Trebuchet MS" w:cs="Trebuchet MS"/>
                <w:b/>
                <w:sz w:val="24"/>
                <w:szCs w:val="24"/>
              </w:rPr>
            </w:pPr>
          </w:p>
          <w:p w:rsidR="005667EC" w:rsidRPr="0064568E" w:rsidRDefault="002A34E0" w:rsidP="0064568E">
            <w:pPr>
              <w:spacing w:after="0" w:line="240" w:lineRule="auto"/>
              <w:jc w:val="center"/>
              <w:rPr>
                <w:rFonts w:ascii="Trebuchet MS" w:eastAsia="Trebuchet MS" w:hAnsi="Trebuchet MS" w:cs="Trebuchet MS"/>
                <w:b/>
                <w:sz w:val="24"/>
                <w:szCs w:val="24"/>
              </w:rPr>
            </w:pPr>
            <w:r w:rsidRPr="0064568E">
              <w:rPr>
                <w:rFonts w:ascii="Trebuchet MS" w:eastAsia="Trebuchet MS" w:hAnsi="Trebuchet MS" w:cs="Trebuchet MS"/>
                <w:b/>
                <w:sz w:val="24"/>
                <w:szCs w:val="24"/>
              </w:rPr>
              <w:t>Guillermo Amado Alcaraz Cross</w:t>
            </w:r>
          </w:p>
          <w:p w:rsidR="005667EC" w:rsidRPr="0064568E" w:rsidRDefault="002A34E0" w:rsidP="0064568E">
            <w:pPr>
              <w:spacing w:after="0" w:line="240" w:lineRule="auto"/>
              <w:jc w:val="center"/>
              <w:rPr>
                <w:rFonts w:ascii="Trebuchet MS" w:eastAsia="Trebuchet MS" w:hAnsi="Trebuchet MS" w:cs="Trebuchet MS"/>
                <w:b/>
                <w:sz w:val="24"/>
                <w:szCs w:val="24"/>
              </w:rPr>
            </w:pPr>
            <w:r w:rsidRPr="0064568E">
              <w:rPr>
                <w:rFonts w:ascii="Trebuchet MS" w:eastAsia="Trebuchet MS" w:hAnsi="Trebuchet MS" w:cs="Trebuchet MS"/>
                <w:b/>
                <w:sz w:val="24"/>
                <w:szCs w:val="24"/>
              </w:rPr>
              <w:t>Consejero presidente</w:t>
            </w:r>
          </w:p>
        </w:tc>
        <w:tc>
          <w:tcPr>
            <w:tcW w:w="4530" w:type="dxa"/>
            <w:shd w:val="clear" w:color="auto" w:fill="auto"/>
          </w:tcPr>
          <w:p w:rsidR="005667EC" w:rsidRPr="0064568E" w:rsidRDefault="005667EC" w:rsidP="0064568E">
            <w:pPr>
              <w:pBdr>
                <w:top w:val="nil"/>
                <w:left w:val="nil"/>
                <w:bottom w:val="nil"/>
                <w:right w:val="nil"/>
                <w:between w:val="nil"/>
              </w:pBdr>
              <w:spacing w:after="0" w:line="240" w:lineRule="auto"/>
              <w:rPr>
                <w:rFonts w:ascii="Trebuchet MS" w:eastAsia="Times New Roman" w:hAnsi="Trebuchet MS"/>
                <w:color w:val="000000"/>
                <w:sz w:val="24"/>
                <w:szCs w:val="24"/>
              </w:rPr>
            </w:pPr>
          </w:p>
          <w:p w:rsidR="005667EC" w:rsidRPr="0064568E" w:rsidRDefault="002A34E0" w:rsidP="0064568E">
            <w:pPr>
              <w:pBdr>
                <w:top w:val="nil"/>
                <w:left w:val="nil"/>
                <w:bottom w:val="nil"/>
                <w:right w:val="nil"/>
                <w:between w:val="nil"/>
              </w:pBdr>
              <w:spacing w:after="0" w:line="240" w:lineRule="auto"/>
              <w:rPr>
                <w:rFonts w:ascii="Trebuchet MS" w:eastAsia="Times New Roman" w:hAnsi="Trebuchet MS"/>
                <w:color w:val="000000"/>
                <w:sz w:val="24"/>
                <w:szCs w:val="24"/>
              </w:rPr>
            </w:pPr>
            <w:r w:rsidRPr="0064568E">
              <w:rPr>
                <w:rFonts w:ascii="Trebuchet MS" w:eastAsia="Trebuchet MS" w:hAnsi="Trebuchet MS" w:cs="Trebuchet MS"/>
                <w:b/>
                <w:color w:val="000000"/>
                <w:sz w:val="24"/>
                <w:szCs w:val="24"/>
              </w:rPr>
              <w:t>Manuel Alejandro Murillo Gutiérrez</w:t>
            </w:r>
          </w:p>
          <w:p w:rsidR="005667EC" w:rsidRPr="0064568E" w:rsidRDefault="002A34E0" w:rsidP="0064568E">
            <w:pPr>
              <w:pBdr>
                <w:top w:val="nil"/>
                <w:left w:val="nil"/>
                <w:bottom w:val="nil"/>
                <w:right w:val="nil"/>
                <w:between w:val="nil"/>
              </w:pBdr>
              <w:spacing w:after="0" w:line="240" w:lineRule="auto"/>
              <w:jc w:val="center"/>
              <w:rPr>
                <w:rFonts w:ascii="Trebuchet MS" w:eastAsia="Times New Roman" w:hAnsi="Trebuchet MS"/>
                <w:color w:val="000000"/>
                <w:sz w:val="24"/>
                <w:szCs w:val="24"/>
              </w:rPr>
            </w:pPr>
            <w:r w:rsidRPr="0064568E">
              <w:rPr>
                <w:rFonts w:ascii="Trebuchet MS" w:eastAsia="Trebuchet MS" w:hAnsi="Trebuchet MS" w:cs="Trebuchet MS"/>
                <w:b/>
                <w:color w:val="000000"/>
                <w:sz w:val="24"/>
                <w:szCs w:val="24"/>
              </w:rPr>
              <w:t>Secretario Ejecutivo</w:t>
            </w:r>
          </w:p>
          <w:p w:rsidR="005667EC" w:rsidRPr="0064568E" w:rsidRDefault="005667EC" w:rsidP="0064568E">
            <w:pPr>
              <w:spacing w:after="0" w:line="240" w:lineRule="auto"/>
              <w:jc w:val="center"/>
              <w:rPr>
                <w:rFonts w:ascii="Trebuchet MS" w:eastAsia="Trebuchet MS" w:hAnsi="Trebuchet MS" w:cs="Trebuchet MS"/>
                <w:b/>
                <w:sz w:val="24"/>
                <w:szCs w:val="24"/>
              </w:rPr>
            </w:pPr>
          </w:p>
        </w:tc>
      </w:tr>
    </w:tbl>
    <w:p w:rsidR="0064568E" w:rsidRPr="0064568E" w:rsidRDefault="0064568E" w:rsidP="0064568E">
      <w:pPr>
        <w:spacing w:line="240" w:lineRule="auto"/>
        <w:rPr>
          <w:rFonts w:ascii="Trebuchet MS" w:eastAsia="Trebuchet MS" w:hAnsi="Trebuchet MS" w:cs="Trebuchet MS"/>
          <w:sz w:val="24"/>
          <w:szCs w:val="24"/>
        </w:rPr>
      </w:pPr>
    </w:p>
    <w:p w:rsidR="0064568E" w:rsidRPr="0064568E" w:rsidRDefault="0064568E" w:rsidP="0064568E">
      <w:pPr>
        <w:spacing w:after="0" w:line="240" w:lineRule="auto"/>
        <w:jc w:val="both"/>
        <w:rPr>
          <w:rFonts w:ascii="Trebuchet MS" w:hAnsi="Trebuchet MS"/>
          <w:sz w:val="18"/>
          <w:szCs w:val="18"/>
        </w:rPr>
      </w:pPr>
      <w:r w:rsidRPr="0064568E">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extraordinaria del Consejo General celebrada el </w:t>
      </w:r>
      <w:r w:rsidR="002352A1">
        <w:rPr>
          <w:rFonts w:ascii="Trebuchet MS" w:hAnsi="Trebuchet MS"/>
          <w:sz w:val="18"/>
          <w:szCs w:val="18"/>
        </w:rPr>
        <w:t xml:space="preserve">veinte </w:t>
      </w:r>
      <w:r w:rsidRPr="0064568E">
        <w:rPr>
          <w:rFonts w:ascii="Trebuchet MS" w:hAnsi="Trebuchet MS"/>
          <w:sz w:val="18"/>
          <w:szCs w:val="18"/>
        </w:rPr>
        <w:t>de marzo de dos mil veintiuno, por votación unánime de las y los consejeros electorales Silvia Guadalupe Bustos Vásquez</w:t>
      </w:r>
      <w:r w:rsidRPr="0064568E">
        <w:rPr>
          <w:rFonts w:ascii="Trebuchet MS" w:hAnsi="Trebuchet MS"/>
          <w:bCs/>
          <w:sz w:val="18"/>
          <w:szCs w:val="18"/>
        </w:rPr>
        <w:t>,</w:t>
      </w:r>
      <w:r w:rsidRPr="0064568E">
        <w:rPr>
          <w:rFonts w:ascii="Trebuchet MS" w:hAnsi="Trebuchet MS"/>
          <w:sz w:val="18"/>
          <w:szCs w:val="18"/>
        </w:rPr>
        <w:t xml:space="preserve"> Zoad Jeanine García González, Miguel Godínez Terríquez</w:t>
      </w:r>
      <w:r w:rsidRPr="0064568E">
        <w:rPr>
          <w:rFonts w:ascii="Trebuchet MS" w:hAnsi="Trebuchet MS"/>
          <w:bCs/>
          <w:sz w:val="18"/>
          <w:szCs w:val="18"/>
        </w:rPr>
        <w:t>,</w:t>
      </w:r>
      <w:r w:rsidRPr="0064568E">
        <w:rPr>
          <w:rFonts w:ascii="Trebuchet MS" w:hAnsi="Trebuchet MS"/>
          <w:sz w:val="18"/>
          <w:szCs w:val="18"/>
        </w:rPr>
        <w:t xml:space="preserve"> </w:t>
      </w:r>
      <w:r w:rsidRPr="0064568E">
        <w:rPr>
          <w:rFonts w:ascii="Trebuchet MS" w:hAnsi="Trebuchet MS"/>
          <w:bCs/>
          <w:sz w:val="18"/>
          <w:szCs w:val="18"/>
        </w:rPr>
        <w:t xml:space="preserve">Moisés Pérez Vega, Brenda Judith Serafín Morfín, Claudia Alejandra Vargas Bautista y del consejero presidente </w:t>
      </w:r>
      <w:r w:rsidRPr="0064568E">
        <w:rPr>
          <w:rFonts w:ascii="Trebuchet MS" w:hAnsi="Trebuchet MS"/>
          <w:sz w:val="18"/>
          <w:szCs w:val="18"/>
        </w:rPr>
        <w:t>Guillermo Amado Alcaraz Cross.</w:t>
      </w:r>
      <w:r w:rsidRPr="0064568E">
        <w:rPr>
          <w:rFonts w:ascii="Trebuchet MS" w:hAnsi="Trebuchet MS" w:cs="CJNLLK+Garamond"/>
          <w:color w:val="000000"/>
          <w:sz w:val="18"/>
          <w:szCs w:val="18"/>
        </w:rPr>
        <w:t xml:space="preserve"> </w:t>
      </w:r>
      <w:r w:rsidRPr="0064568E">
        <w:rPr>
          <w:rFonts w:ascii="Trebuchet MS" w:hAnsi="Trebuchet MS"/>
          <w:sz w:val="18"/>
          <w:szCs w:val="18"/>
        </w:rPr>
        <w:t>Doy fe.</w:t>
      </w:r>
    </w:p>
    <w:p w:rsidR="0064568E" w:rsidRPr="0064568E" w:rsidRDefault="0064568E" w:rsidP="0064568E">
      <w:pPr>
        <w:spacing w:after="0" w:line="240" w:lineRule="auto"/>
        <w:jc w:val="both"/>
        <w:rPr>
          <w:rFonts w:ascii="Trebuchet MS" w:hAnsi="Trebuchet MS"/>
          <w:sz w:val="18"/>
          <w:szCs w:val="18"/>
        </w:rPr>
      </w:pPr>
    </w:p>
    <w:p w:rsidR="0064568E" w:rsidRPr="0064568E" w:rsidRDefault="0064568E" w:rsidP="0064568E">
      <w:pPr>
        <w:spacing w:after="0" w:line="240" w:lineRule="auto"/>
        <w:rPr>
          <w:rFonts w:ascii="Trebuchet MS" w:hAnsi="Trebuchet MS"/>
          <w:sz w:val="18"/>
          <w:szCs w:val="18"/>
        </w:rPr>
      </w:pPr>
    </w:p>
    <w:p w:rsidR="0064568E" w:rsidRPr="0064568E" w:rsidRDefault="0064568E" w:rsidP="0064568E">
      <w:pPr>
        <w:spacing w:after="0" w:line="240" w:lineRule="auto"/>
        <w:jc w:val="center"/>
        <w:rPr>
          <w:rFonts w:ascii="Trebuchet MS" w:hAnsi="Trebuchet MS"/>
          <w:sz w:val="18"/>
          <w:szCs w:val="18"/>
        </w:rPr>
      </w:pPr>
      <w:r w:rsidRPr="0064568E">
        <w:rPr>
          <w:rFonts w:ascii="Trebuchet MS" w:hAnsi="Trebuchet MS"/>
          <w:sz w:val="18"/>
          <w:szCs w:val="18"/>
        </w:rPr>
        <w:t>Manuel Alejandro Murillo Gutiérrez</w:t>
      </w:r>
    </w:p>
    <w:p w:rsidR="0064568E" w:rsidRPr="0064568E" w:rsidRDefault="0064568E" w:rsidP="0064568E">
      <w:pPr>
        <w:spacing w:after="0" w:line="240" w:lineRule="auto"/>
        <w:jc w:val="center"/>
        <w:rPr>
          <w:rFonts w:ascii="Trebuchet MS" w:hAnsi="Trebuchet MS"/>
          <w:sz w:val="18"/>
          <w:szCs w:val="18"/>
        </w:rPr>
      </w:pPr>
      <w:r w:rsidRPr="0064568E">
        <w:rPr>
          <w:rFonts w:ascii="Trebuchet MS" w:hAnsi="Trebuchet MS"/>
          <w:sz w:val="18"/>
          <w:szCs w:val="18"/>
        </w:rPr>
        <w:t>Secretario ejecutivo</w:t>
      </w:r>
    </w:p>
    <w:p w:rsidR="0064568E" w:rsidRPr="0064568E" w:rsidRDefault="0064568E" w:rsidP="0064568E">
      <w:pPr>
        <w:spacing w:after="0" w:line="240" w:lineRule="auto"/>
        <w:rPr>
          <w:rFonts w:ascii="Trebuchet MS" w:eastAsia="Trebuchet MS" w:hAnsi="Trebuchet MS" w:cs="Trebuchet MS"/>
          <w:sz w:val="24"/>
          <w:szCs w:val="24"/>
        </w:rPr>
      </w:pPr>
    </w:p>
    <w:p w:rsidR="00DE7A2B" w:rsidRPr="0064568E" w:rsidRDefault="00DE7A2B" w:rsidP="0064568E">
      <w:pPr>
        <w:spacing w:line="240" w:lineRule="auto"/>
        <w:rPr>
          <w:rFonts w:ascii="Trebuchet MS" w:eastAsia="Trebuchet MS" w:hAnsi="Trebuchet MS" w:cs="Trebuchet MS"/>
          <w:sz w:val="24"/>
          <w:szCs w:val="24"/>
        </w:rPr>
      </w:pPr>
    </w:p>
    <w:sectPr w:rsidR="00DE7A2B" w:rsidRPr="0064568E" w:rsidSect="00921C80">
      <w:headerReference w:type="default" r:id="rId9"/>
      <w:footerReference w:type="default" r:id="rId10"/>
      <w:pgSz w:w="12240" w:h="15840"/>
      <w:pgMar w:top="2268" w:right="1531"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E5" w:rsidRDefault="009849E5">
      <w:pPr>
        <w:spacing w:after="0" w:line="240" w:lineRule="auto"/>
      </w:pPr>
      <w:r>
        <w:separator/>
      </w:r>
    </w:p>
  </w:endnote>
  <w:endnote w:type="continuationSeparator" w:id="0">
    <w:p w:rsidR="009849E5" w:rsidRDefault="0098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EC" w:rsidRDefault="005667EC">
    <w:pPr>
      <w:tabs>
        <w:tab w:val="center" w:pos="4419"/>
        <w:tab w:val="right" w:pos="8838"/>
      </w:tabs>
      <w:ind w:right="49"/>
      <w:jc w:val="right"/>
      <w:rPr>
        <w:rFonts w:ascii="Trebuchet MS" w:eastAsia="Trebuchet MS" w:hAnsi="Trebuchet MS" w:cs="Trebuchet MS"/>
        <w:sz w:val="16"/>
        <w:szCs w:val="16"/>
      </w:rPr>
    </w:pPr>
  </w:p>
  <w:p w:rsidR="005667EC" w:rsidRDefault="002A34E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sidR="00921C80">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sidR="00921C80">
      <w:rPr>
        <w:rFonts w:ascii="Trebuchet MS" w:eastAsia="Trebuchet MS" w:hAnsi="Trebuchet MS" w:cs="Trebuchet MS"/>
        <w:sz w:val="20"/>
        <w:szCs w:val="20"/>
      </w:rPr>
      <w:fldChar w:fldCharType="separate"/>
    </w:r>
    <w:r w:rsidR="00256859">
      <w:rPr>
        <w:rFonts w:ascii="Trebuchet MS" w:eastAsia="Trebuchet MS" w:hAnsi="Trebuchet MS" w:cs="Trebuchet MS"/>
        <w:noProof/>
        <w:sz w:val="20"/>
        <w:szCs w:val="20"/>
      </w:rPr>
      <w:t>3</w:t>
    </w:r>
    <w:r w:rsidR="00921C80">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sidR="00921C80">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sidR="00921C80">
      <w:rPr>
        <w:rFonts w:ascii="Trebuchet MS" w:eastAsia="Trebuchet MS" w:hAnsi="Trebuchet MS" w:cs="Trebuchet MS"/>
        <w:sz w:val="20"/>
        <w:szCs w:val="20"/>
      </w:rPr>
      <w:fldChar w:fldCharType="separate"/>
    </w:r>
    <w:r w:rsidR="00256859">
      <w:rPr>
        <w:rFonts w:ascii="Trebuchet MS" w:eastAsia="Trebuchet MS" w:hAnsi="Trebuchet MS" w:cs="Trebuchet MS"/>
        <w:noProof/>
        <w:sz w:val="20"/>
        <w:szCs w:val="20"/>
      </w:rPr>
      <w:t>3</w:t>
    </w:r>
    <w:r w:rsidR="00921C80">
      <w:rPr>
        <w:rFonts w:ascii="Trebuchet MS" w:eastAsia="Trebuchet MS" w:hAnsi="Trebuchet MS" w:cs="Trebuchet MS"/>
        <w:sz w:val="20"/>
        <w:szCs w:val="20"/>
      </w:rPr>
      <w:fldChar w:fldCharType="end"/>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E5" w:rsidRDefault="009849E5">
      <w:pPr>
        <w:spacing w:after="0" w:line="240" w:lineRule="auto"/>
      </w:pPr>
      <w:r>
        <w:separator/>
      </w:r>
    </w:p>
  </w:footnote>
  <w:footnote w:type="continuationSeparator" w:id="0">
    <w:p w:rsidR="009849E5" w:rsidRDefault="00984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EC" w:rsidRDefault="002A34E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extent cx="1390650" cy="780956"/>
          <wp:effectExtent l="0" t="0" r="0" b="0"/>
          <wp:docPr id="7"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5667EC" w:rsidRDefault="002B71CE">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REV-006</w:t>
    </w:r>
    <w:r w:rsidR="002A34E0">
      <w:rPr>
        <w:rFonts w:ascii="Trebuchet MS" w:eastAsia="Trebuchet MS" w:hAnsi="Trebuchet MS" w:cs="Trebuchet MS"/>
        <w:b/>
        <w:color w:val="000000"/>
        <w:sz w:val="24"/>
        <w:szCs w:val="24"/>
      </w:rPr>
      <w:t>/2021</w:t>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175F7"/>
    <w:multiLevelType w:val="hybridMultilevel"/>
    <w:tmpl w:val="E4D20204"/>
    <w:lvl w:ilvl="0" w:tplc="68EEFB5E">
      <w:start w:val="1"/>
      <w:numFmt w:val="decimal"/>
      <w:lvlText w:val="%1."/>
      <w:lvlJc w:val="left"/>
      <w:pPr>
        <w:ind w:left="925" w:hanging="360"/>
      </w:pPr>
      <w:rPr>
        <w:rFonts w:hint="default"/>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1">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ABB2FB4"/>
    <w:multiLevelType w:val="multilevel"/>
    <w:tmpl w:val="7B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5667EC"/>
    <w:rsid w:val="00023720"/>
    <w:rsid w:val="00044A8F"/>
    <w:rsid w:val="000B4FFA"/>
    <w:rsid w:val="00134F5C"/>
    <w:rsid w:val="0017123A"/>
    <w:rsid w:val="002352A1"/>
    <w:rsid w:val="00256859"/>
    <w:rsid w:val="002A34E0"/>
    <w:rsid w:val="002B71CE"/>
    <w:rsid w:val="003216E1"/>
    <w:rsid w:val="003238C7"/>
    <w:rsid w:val="00482C8D"/>
    <w:rsid w:val="004C3691"/>
    <w:rsid w:val="005667EC"/>
    <w:rsid w:val="0064568E"/>
    <w:rsid w:val="0065517D"/>
    <w:rsid w:val="00670AED"/>
    <w:rsid w:val="006F46B8"/>
    <w:rsid w:val="00747A11"/>
    <w:rsid w:val="00805C42"/>
    <w:rsid w:val="008F40D1"/>
    <w:rsid w:val="00921C80"/>
    <w:rsid w:val="009849E5"/>
    <w:rsid w:val="009B090A"/>
    <w:rsid w:val="00B761A4"/>
    <w:rsid w:val="00BF0A50"/>
    <w:rsid w:val="00C93695"/>
    <w:rsid w:val="00D55765"/>
    <w:rsid w:val="00DE7A2B"/>
    <w:rsid w:val="00E47CF4"/>
    <w:rsid w:val="00F073C1"/>
    <w:rsid w:val="00F67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2ED4BCAA-9E0B-41DE-8439-F9A38BA5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rsid w:val="00921C80"/>
    <w:pPr>
      <w:keepNext/>
      <w:keepLines/>
      <w:spacing w:before="480" w:after="120"/>
      <w:outlineLvl w:val="0"/>
    </w:pPr>
    <w:rPr>
      <w:b/>
      <w:sz w:val="48"/>
      <w:szCs w:val="48"/>
    </w:rPr>
  </w:style>
  <w:style w:type="paragraph" w:styleId="Ttulo2">
    <w:name w:val="heading 2"/>
    <w:basedOn w:val="Normal"/>
    <w:next w:val="Normal"/>
    <w:rsid w:val="00921C80"/>
    <w:pPr>
      <w:keepNext/>
      <w:keepLines/>
      <w:spacing w:before="360" w:after="80"/>
      <w:outlineLvl w:val="1"/>
    </w:pPr>
    <w:rPr>
      <w:b/>
      <w:sz w:val="36"/>
      <w:szCs w:val="36"/>
    </w:rPr>
  </w:style>
  <w:style w:type="paragraph" w:styleId="Ttulo3">
    <w:name w:val="heading 3"/>
    <w:basedOn w:val="Normal"/>
    <w:next w:val="Normal"/>
    <w:rsid w:val="00921C80"/>
    <w:pPr>
      <w:keepNext/>
      <w:keepLines/>
      <w:spacing w:before="280" w:after="80"/>
      <w:outlineLvl w:val="2"/>
    </w:pPr>
    <w:rPr>
      <w:b/>
      <w:sz w:val="28"/>
      <w:szCs w:val="28"/>
    </w:rPr>
  </w:style>
  <w:style w:type="paragraph" w:styleId="Ttulo4">
    <w:name w:val="heading 4"/>
    <w:basedOn w:val="Normal"/>
    <w:next w:val="Normal"/>
    <w:rsid w:val="00921C80"/>
    <w:pPr>
      <w:keepNext/>
      <w:keepLines/>
      <w:spacing w:before="240" w:after="40"/>
      <w:outlineLvl w:val="3"/>
    </w:pPr>
    <w:rPr>
      <w:b/>
      <w:sz w:val="24"/>
      <w:szCs w:val="24"/>
    </w:rPr>
  </w:style>
  <w:style w:type="paragraph" w:styleId="Ttulo5">
    <w:name w:val="heading 5"/>
    <w:basedOn w:val="Normal"/>
    <w:next w:val="Normal"/>
    <w:rsid w:val="00921C80"/>
    <w:pPr>
      <w:keepNext/>
      <w:keepLines/>
      <w:spacing w:before="220" w:after="40"/>
      <w:outlineLvl w:val="4"/>
    </w:pPr>
    <w:rPr>
      <w:b/>
    </w:rPr>
  </w:style>
  <w:style w:type="paragraph" w:styleId="Ttulo6">
    <w:name w:val="heading 6"/>
    <w:basedOn w:val="Normal"/>
    <w:next w:val="Normal"/>
    <w:rsid w:val="00921C8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21C80"/>
    <w:tblPr>
      <w:tblCellMar>
        <w:top w:w="0" w:type="dxa"/>
        <w:left w:w="0" w:type="dxa"/>
        <w:bottom w:w="0" w:type="dxa"/>
        <w:right w:w="0" w:type="dxa"/>
      </w:tblCellMar>
    </w:tblPr>
  </w:style>
  <w:style w:type="paragraph" w:styleId="Puesto">
    <w:name w:val="Title"/>
    <w:basedOn w:val="Normal"/>
    <w:next w:val="Normal"/>
    <w:rsid w:val="00921C80"/>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rsid w:val="00921C80"/>
    <w:pPr>
      <w:keepNext/>
      <w:keepLines/>
      <w:spacing w:before="360" w:after="80"/>
    </w:pPr>
    <w:rPr>
      <w:rFonts w:ascii="Georgia" w:eastAsia="Georgia" w:hAnsi="Georgia" w:cs="Georgia"/>
      <w:i/>
      <w:color w:val="666666"/>
      <w:sz w:val="48"/>
      <w:szCs w:val="48"/>
    </w:rPr>
  </w:style>
  <w:style w:type="table" w:customStyle="1" w:styleId="a">
    <w:basedOn w:val="TableNormal"/>
    <w:rsid w:val="00921C80"/>
    <w:tblPr>
      <w:tblStyleRowBandSize w:val="1"/>
      <w:tblStyleColBandSize w:val="1"/>
      <w:tblCellMar>
        <w:top w:w="0" w:type="dxa"/>
        <w:left w:w="115" w:type="dxa"/>
        <w:bottom w:w="0" w:type="dxa"/>
        <w:right w:w="115" w:type="dxa"/>
      </w:tblCellMar>
    </w:tblPr>
  </w:style>
  <w:style w:type="paragraph" w:customStyle="1" w:styleId="Default">
    <w:name w:val="Default"/>
    <w:rsid w:val="00C93695"/>
    <w:pPr>
      <w:autoSpaceDE w:val="0"/>
      <w:autoSpaceDN w:val="0"/>
      <w:adjustRightInd w:val="0"/>
      <w:spacing w:after="0" w:line="240" w:lineRule="auto"/>
    </w:pPr>
    <w:rPr>
      <w:rFonts w:ascii="Trebuchet MS" w:eastAsiaTheme="minorHAnsi" w:hAnsi="Trebuchet MS" w:cs="Trebuchet MS"/>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1719">
      <w:bodyDiv w:val="1"/>
      <w:marLeft w:val="0"/>
      <w:marRight w:val="0"/>
      <w:marTop w:val="0"/>
      <w:marBottom w:val="0"/>
      <w:divBdr>
        <w:top w:val="none" w:sz="0" w:space="0" w:color="auto"/>
        <w:left w:val="none" w:sz="0" w:space="0" w:color="auto"/>
        <w:bottom w:val="none" w:sz="0" w:space="0" w:color="auto"/>
        <w:right w:val="none" w:sz="0" w:space="0" w:color="auto"/>
      </w:divBdr>
    </w:div>
    <w:div w:id="125528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97A406-E122-42C5-99B3-A974E053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975</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8</cp:revision>
  <cp:lastPrinted>2021-03-21T00:13:00Z</cp:lastPrinted>
  <dcterms:created xsi:type="dcterms:W3CDTF">2021-03-21T01:41:00Z</dcterms:created>
  <dcterms:modified xsi:type="dcterms:W3CDTF">2021-03-21T02:20:00Z</dcterms:modified>
</cp:coreProperties>
</file>