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B" w:rsidRPr="006108BB" w:rsidRDefault="00DC0A16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  <w:r w:rsidRPr="006108BB">
        <w:rPr>
          <w:rFonts w:ascii="Trebuchet MS" w:eastAsia="Trebuchet MS" w:hAnsi="Trebuchet MS" w:cs="Trebuchet MS"/>
          <w:b/>
          <w:sz w:val="21"/>
          <w:szCs w:val="21"/>
        </w:rPr>
        <w:t>INFORME QUE RINDE EL CONSEJERO PRESIDENTE DE ESTE INSTITUTO ELECTORAL Y DE PARTICIPACIÓN CIUDADANA DEL ESTADO DE JALISCO, AL CONSEJO GENERAL, CON EL QUE DA CUMPLIMIENTO AL ARTÍCULO 192, PÁRRAFO 1 DEL REGLAMENTO DE ELECCIONES DEL INSTITUTO NACIONAL ELECTORAL, RELATIVO A LAS SOLICITUDES DE ACREDITACIÓN DE OBSERVADORES ELECTORALES ANTE ESTE INSTITUTO PARA EL PROCESO ELECTORAL CONCURRENTE 2020-2021.</w:t>
      </w:r>
    </w:p>
    <w:p w:rsidR="0020674B" w:rsidRPr="006108BB" w:rsidRDefault="0020674B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</w:p>
    <w:p w:rsidR="0020674B" w:rsidRPr="006108BB" w:rsidRDefault="00DC0A16">
      <w:pPr>
        <w:pStyle w:val="Normal1"/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1"/>
          <w:szCs w:val="21"/>
          <w:lang w:val="pt-BR"/>
        </w:rPr>
      </w:pPr>
      <w:r w:rsidRPr="006108BB">
        <w:rPr>
          <w:rFonts w:ascii="Trebuchet MS" w:eastAsia="Trebuchet MS" w:hAnsi="Trebuchet MS" w:cs="Trebuchet MS"/>
          <w:b/>
          <w:sz w:val="21"/>
          <w:szCs w:val="21"/>
          <w:lang w:val="pt-BR"/>
        </w:rPr>
        <w:t>A N T E C E D E N T E S</w:t>
      </w:r>
    </w:p>
    <w:p w:rsidR="0020674B" w:rsidRPr="006108BB" w:rsidRDefault="0020674B">
      <w:pPr>
        <w:pStyle w:val="Normal1"/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1"/>
          <w:szCs w:val="21"/>
          <w:lang w:val="pt-BR"/>
        </w:rPr>
      </w:pPr>
    </w:p>
    <w:p w:rsidR="0020674B" w:rsidRPr="006108BB" w:rsidRDefault="00DC0A16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b/>
          <w:sz w:val="21"/>
          <w:szCs w:val="21"/>
        </w:rPr>
        <w:t xml:space="preserve">1. ACUERDO DEL INSTITUTO NACIONAL ELECTORAL INE/CG255/2020. </w:t>
      </w:r>
      <w:r w:rsidRPr="006108BB">
        <w:rPr>
          <w:rFonts w:ascii="Trebuchet MS" w:eastAsia="Trebuchet MS" w:hAnsi="Trebuchet MS" w:cs="Trebuchet MS"/>
          <w:sz w:val="21"/>
          <w:szCs w:val="21"/>
        </w:rPr>
        <w:t>El cuatro de septiembre de dos mil veinte, el Instituto Nacional Electoral, aprobó el acuerdo identificado con la clave alfanumérica INE/CG255/2020, por el que se emitieron las convocatorias para la ciudadanía interesada en acreditarse como observadora electoral, para el Proceso Electoral 2020-2021; así como el modelo que deberán atender los organismos públicos locales, para emitir la convocatoria respectiva; el cual fue notificado a este Instituto, por el Director de la Unidad Técnica de Vinculación con los Organismos Públicos Locales, maestro Miguel Ángel Patino Arroyo, mediante el oficio INE/DEOE/0597/2020.</w:t>
      </w:r>
    </w:p>
    <w:p w:rsidR="0020674B" w:rsidRPr="006108BB" w:rsidRDefault="0020674B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674B" w:rsidRPr="006108BB" w:rsidRDefault="00DC0A16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b/>
          <w:sz w:val="21"/>
          <w:szCs w:val="21"/>
        </w:rPr>
        <w:t xml:space="preserve">2. CONVOCATORIA PARA LA CIUDADANÍA INTERESADA EN ACREDITARSE COMO OBSERVADORA ELECTORAL, PARA EL PROCESO ELECTORAL CONCURRENTE 2020-2021. </w:t>
      </w:r>
      <w:r w:rsidRPr="006108BB">
        <w:rPr>
          <w:rFonts w:ascii="Trebuchet MS" w:eastAsia="Trebuchet MS" w:hAnsi="Trebuchet MS" w:cs="Trebuchet MS"/>
          <w:sz w:val="21"/>
          <w:szCs w:val="21"/>
        </w:rPr>
        <w:t>El catorce de octubre de dos mil veinte, con acuerdo IEPC-ACG-040/2020, el Consejo General de este Instituto, aprobó la “Convocatoria para la ciudadanía interesada en acreditarse como observadora electoral, para el Proceso Electoral Concurrente 2020-2021”, y se ordenó su publicación y difusión.</w:t>
      </w:r>
    </w:p>
    <w:p w:rsidR="0020674B" w:rsidRPr="006108BB" w:rsidRDefault="0020674B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674B" w:rsidRPr="006108BB" w:rsidRDefault="00DC0A16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b/>
          <w:sz w:val="21"/>
          <w:szCs w:val="21"/>
        </w:rPr>
        <w:t>3. COMUNICACIÓN DEL DIRECTOR DE ORGANIZACIÓN ELECTORAL.</w:t>
      </w:r>
      <w:r w:rsidRPr="006108BB">
        <w:rPr>
          <w:rFonts w:ascii="Trebuchet MS" w:eastAsia="Trebuchet MS" w:hAnsi="Trebuchet MS" w:cs="Trebuchet MS"/>
          <w:sz w:val="21"/>
          <w:szCs w:val="21"/>
        </w:rPr>
        <w:t xml:space="preserve"> El veintiséis de </w:t>
      </w:r>
      <w:r w:rsidR="00597497" w:rsidRPr="006108BB">
        <w:rPr>
          <w:rFonts w:ascii="Trebuchet MS" w:eastAsia="Trebuchet MS" w:hAnsi="Trebuchet MS" w:cs="Trebuchet MS"/>
          <w:sz w:val="21"/>
          <w:szCs w:val="21"/>
        </w:rPr>
        <w:t>marzo de</w:t>
      </w:r>
      <w:r w:rsidRPr="006108BB">
        <w:rPr>
          <w:rFonts w:ascii="Trebuchet MS" w:eastAsia="Trebuchet MS" w:hAnsi="Trebuchet MS" w:cs="Trebuchet MS"/>
          <w:sz w:val="21"/>
          <w:szCs w:val="21"/>
        </w:rPr>
        <w:t xml:space="preserve"> dos mil veintiuno, el director de Organización Electoral, mediante correo electrónico, comunicó que a la fecha mencionada, </w:t>
      </w:r>
      <w:r w:rsidR="00597497">
        <w:rPr>
          <w:rFonts w:ascii="Trebuchet MS" w:eastAsia="Trebuchet MS" w:hAnsi="Trebuchet MS" w:cs="Trebuchet MS"/>
          <w:sz w:val="21"/>
          <w:szCs w:val="21"/>
        </w:rPr>
        <w:t>no se han recibido</w:t>
      </w:r>
      <w:r w:rsidRPr="006108BB"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="00C0166E" w:rsidRPr="006108BB">
        <w:rPr>
          <w:rFonts w:ascii="Trebuchet MS" w:eastAsia="Trebuchet MS" w:hAnsi="Trebuchet MS" w:cs="Trebuchet MS"/>
          <w:sz w:val="21"/>
          <w:szCs w:val="21"/>
        </w:rPr>
        <w:t xml:space="preserve">solicitudes </w:t>
      </w:r>
      <w:r w:rsidR="00C0166E">
        <w:rPr>
          <w:rFonts w:ascii="Trebuchet MS" w:eastAsia="Trebuchet MS" w:hAnsi="Trebuchet MS" w:cs="Trebuchet MS"/>
          <w:sz w:val="21"/>
          <w:szCs w:val="21"/>
        </w:rPr>
        <w:t xml:space="preserve">ante este organismo electoral, sin embargo, se registran 22 solicitudes con estatus de aprobadas, que fueron recibidas mediante el Sistema Nacional, </w:t>
      </w:r>
      <w:r w:rsidRPr="006108BB">
        <w:rPr>
          <w:rFonts w:ascii="Trebuchet MS" w:eastAsia="Trebuchet MS" w:hAnsi="Trebuchet MS" w:cs="Trebuchet MS"/>
          <w:sz w:val="21"/>
          <w:szCs w:val="21"/>
        </w:rPr>
        <w:t xml:space="preserve">de ciudadanas o ciudadanos interesados en participar como observadores electorales en el Proceso Electoral Concurrente 2020-2021. </w:t>
      </w:r>
    </w:p>
    <w:p w:rsidR="0020674B" w:rsidRPr="006108BB" w:rsidRDefault="0020674B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0674B" w:rsidRPr="006108BB" w:rsidRDefault="00DC0A16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  <w:r w:rsidRPr="006108BB">
        <w:rPr>
          <w:rFonts w:ascii="Trebuchet MS" w:eastAsia="Trebuchet MS" w:hAnsi="Trebuchet MS" w:cs="Trebuchet MS"/>
          <w:sz w:val="21"/>
          <w:szCs w:val="21"/>
        </w:rPr>
        <w:t>Por lo antes expuesto se informa:</w:t>
      </w:r>
      <w:r w:rsidRPr="006108BB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</w:p>
    <w:p w:rsidR="0020674B" w:rsidRPr="006108BB" w:rsidRDefault="0020674B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16"/>
          <w:szCs w:val="16"/>
        </w:rPr>
      </w:pPr>
    </w:p>
    <w:p w:rsidR="0020674B" w:rsidRPr="006108BB" w:rsidRDefault="00DC0A16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bookmarkStart w:id="0" w:name="_gjdgxs" w:colFirst="0" w:colLast="0"/>
      <w:bookmarkEnd w:id="0"/>
      <w:r w:rsidRPr="006108BB">
        <w:rPr>
          <w:rFonts w:ascii="Trebuchet MS" w:eastAsia="Trebuchet MS" w:hAnsi="Trebuchet MS" w:cs="Trebuchet MS"/>
          <w:sz w:val="21"/>
          <w:szCs w:val="21"/>
        </w:rPr>
        <w:t>En cumplimiento al artículo 192, párrafo 1 del Reglamento de Elecciones del Instituto Nacional Electoral,</w:t>
      </w:r>
      <w:r w:rsidRPr="006108BB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  <w:r w:rsidRPr="006108BB">
        <w:rPr>
          <w:rFonts w:ascii="Trebuchet MS" w:eastAsia="Trebuchet MS" w:hAnsi="Trebuchet MS" w:cs="Trebuchet MS"/>
          <w:sz w:val="21"/>
          <w:szCs w:val="21"/>
        </w:rPr>
        <w:t>se informa que</w:t>
      </w:r>
      <w:r w:rsidRPr="006108BB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  <w:r w:rsidRPr="006108BB">
        <w:rPr>
          <w:rFonts w:ascii="Trebuchet MS" w:eastAsia="Trebuchet MS" w:hAnsi="Trebuchet MS" w:cs="Trebuchet MS"/>
          <w:sz w:val="21"/>
          <w:szCs w:val="21"/>
        </w:rPr>
        <w:t xml:space="preserve">desde el inicio del Proceso Electoral Concurrente 2020-2021 y hasta el veintiséis de </w:t>
      </w:r>
      <w:r w:rsidR="00597497" w:rsidRPr="006108BB">
        <w:rPr>
          <w:rFonts w:ascii="Trebuchet MS" w:eastAsia="Trebuchet MS" w:hAnsi="Trebuchet MS" w:cs="Trebuchet MS"/>
          <w:sz w:val="21"/>
          <w:szCs w:val="21"/>
        </w:rPr>
        <w:t>Marzo de</w:t>
      </w:r>
      <w:r w:rsidRPr="006108BB">
        <w:rPr>
          <w:rFonts w:ascii="Trebuchet MS" w:eastAsia="Trebuchet MS" w:hAnsi="Trebuchet MS" w:cs="Trebuchet MS"/>
          <w:sz w:val="21"/>
          <w:szCs w:val="21"/>
        </w:rPr>
        <w:t xml:space="preserve"> dos mil veintiuno, </w:t>
      </w:r>
      <w:r w:rsidR="00C0166E">
        <w:rPr>
          <w:rFonts w:ascii="Trebuchet MS" w:eastAsia="Trebuchet MS" w:hAnsi="Trebuchet MS" w:cs="Trebuchet MS"/>
          <w:sz w:val="21"/>
          <w:szCs w:val="21"/>
        </w:rPr>
        <w:t>no se han recibido</w:t>
      </w:r>
      <w:r w:rsidR="00C0166E" w:rsidRPr="006108BB">
        <w:rPr>
          <w:rFonts w:ascii="Trebuchet MS" w:eastAsia="Trebuchet MS" w:hAnsi="Trebuchet MS" w:cs="Trebuchet MS"/>
          <w:sz w:val="21"/>
          <w:szCs w:val="21"/>
        </w:rPr>
        <w:t xml:space="preserve"> solicitudes </w:t>
      </w:r>
      <w:r w:rsidR="00C0166E">
        <w:rPr>
          <w:rFonts w:ascii="Trebuchet MS" w:eastAsia="Trebuchet MS" w:hAnsi="Trebuchet MS" w:cs="Trebuchet MS"/>
          <w:sz w:val="21"/>
          <w:szCs w:val="21"/>
        </w:rPr>
        <w:t>ante este organismo electoral, sin embargo, se registran 22 solicitudes con estatus de aprobadas, que fueron recibidas mediante el Sistema Nacional</w:t>
      </w:r>
      <w:r w:rsidRPr="006108BB">
        <w:rPr>
          <w:rFonts w:ascii="Trebuchet MS" w:eastAsia="Trebuchet MS" w:hAnsi="Trebuchet MS" w:cs="Trebuchet MS"/>
          <w:sz w:val="21"/>
          <w:szCs w:val="21"/>
        </w:rPr>
        <w:t>,</w:t>
      </w:r>
      <w:r w:rsidRPr="006108BB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  <w:r w:rsidRPr="006108BB">
        <w:rPr>
          <w:rFonts w:ascii="Trebuchet MS" w:eastAsia="Trebuchet MS" w:hAnsi="Trebuchet MS" w:cs="Trebuchet MS"/>
          <w:sz w:val="21"/>
          <w:szCs w:val="21"/>
        </w:rPr>
        <w:t>de ciudadanas o ciudadanos mexicanos interesados en participar como observadores electorales para Proceso Electoral Concurrente 2020-2021</w:t>
      </w:r>
      <w:r w:rsidRPr="006108BB">
        <w:rPr>
          <w:rFonts w:ascii="Trebuchet MS" w:eastAsia="Trebuchet MS" w:hAnsi="Trebuchet MS" w:cs="Trebuchet MS"/>
          <w:b/>
          <w:sz w:val="21"/>
          <w:szCs w:val="21"/>
        </w:rPr>
        <w:t>.</w:t>
      </w:r>
    </w:p>
    <w:p w:rsidR="0020674B" w:rsidRPr="006108BB" w:rsidRDefault="0020674B">
      <w:pPr>
        <w:pStyle w:val="Normal1"/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674B" w:rsidRPr="006108BB" w:rsidRDefault="00DC0A16">
      <w:pPr>
        <w:pStyle w:val="Normal1"/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sz w:val="21"/>
          <w:szCs w:val="21"/>
        </w:rPr>
        <w:t>Lo anterior, hágase del conocimiento al Instituto Nacional Electoral a través del Sistema de Vinculación con los Organismos Públicos Locales Electorales, para los efectos legales correspondientes. Por lo anterior expuesto</w:t>
      </w:r>
    </w:p>
    <w:p w:rsidR="0020674B" w:rsidRPr="006108BB" w:rsidRDefault="0020674B">
      <w:pPr>
        <w:pStyle w:val="Normal1"/>
        <w:tabs>
          <w:tab w:val="left" w:pos="7464"/>
        </w:tabs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20674B" w:rsidRPr="006108BB" w:rsidRDefault="00DC0A16">
      <w:pPr>
        <w:pStyle w:val="Normal1"/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sz w:val="21"/>
          <w:szCs w:val="21"/>
        </w:rPr>
        <w:t xml:space="preserve">Guadalajara, Jalisco, a </w:t>
      </w:r>
      <w:r w:rsidR="007804D7">
        <w:rPr>
          <w:rFonts w:ascii="Trebuchet MS" w:eastAsia="Trebuchet MS" w:hAnsi="Trebuchet MS" w:cs="Trebuchet MS"/>
          <w:sz w:val="21"/>
          <w:szCs w:val="21"/>
        </w:rPr>
        <w:t>31</w:t>
      </w:r>
      <w:bookmarkStart w:id="1" w:name="_GoBack"/>
      <w:bookmarkEnd w:id="1"/>
      <w:r w:rsidRPr="006108BB">
        <w:rPr>
          <w:rFonts w:ascii="Trebuchet MS" w:eastAsia="Trebuchet MS" w:hAnsi="Trebuchet MS" w:cs="Trebuchet MS"/>
          <w:sz w:val="21"/>
          <w:szCs w:val="21"/>
        </w:rPr>
        <w:t xml:space="preserve"> de Marzo de 2021</w:t>
      </w:r>
    </w:p>
    <w:p w:rsidR="0020674B" w:rsidRPr="006108BB" w:rsidRDefault="0020674B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</w:p>
    <w:p w:rsidR="0020674B" w:rsidRPr="006108BB" w:rsidRDefault="0020674B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bookmarkStart w:id="2" w:name="_30j0zll" w:colFirst="0" w:colLast="0"/>
      <w:bookmarkEnd w:id="2"/>
    </w:p>
    <w:p w:rsidR="0020674B" w:rsidRPr="006108BB" w:rsidRDefault="00DC0A16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sz w:val="21"/>
          <w:szCs w:val="21"/>
        </w:rPr>
        <w:t>Guillermo Amado Alcaraz Cross</w:t>
      </w:r>
    </w:p>
    <w:p w:rsidR="0020674B" w:rsidRPr="006108BB" w:rsidRDefault="00DC0A16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r w:rsidRPr="006108BB">
        <w:rPr>
          <w:rFonts w:ascii="Trebuchet MS" w:eastAsia="Trebuchet MS" w:hAnsi="Trebuchet MS" w:cs="Trebuchet MS"/>
          <w:sz w:val="21"/>
          <w:szCs w:val="21"/>
        </w:rPr>
        <w:t>Consejero presidente</w:t>
      </w:r>
    </w:p>
    <w:tbl>
      <w:tblPr>
        <w:tblStyle w:val="a"/>
        <w:tblW w:w="14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709"/>
      </w:tblGrid>
      <w:tr w:rsidR="0020674B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4B" w:rsidRDefault="00DC0A1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HALM</w:t>
            </w:r>
          </w:p>
          <w:p w:rsidR="0020674B" w:rsidRDefault="00DC0A1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4B" w:rsidRDefault="00DC0A1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JMGS</w:t>
            </w:r>
          </w:p>
          <w:p w:rsidR="0020674B" w:rsidRDefault="00DC0A1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20674B" w:rsidRDefault="0020674B" w:rsidP="006108BB">
      <w:pPr>
        <w:pStyle w:val="Normal1"/>
        <w:rPr>
          <w:sz w:val="24"/>
          <w:szCs w:val="24"/>
        </w:rPr>
      </w:pPr>
    </w:p>
    <w:sectPr w:rsidR="0020674B" w:rsidSect="007E2EDB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A6" w:rsidRDefault="00DC68A6" w:rsidP="0020674B">
      <w:pPr>
        <w:spacing w:after="0" w:line="240" w:lineRule="auto"/>
      </w:pPr>
      <w:r>
        <w:separator/>
      </w:r>
    </w:p>
  </w:endnote>
  <w:endnote w:type="continuationSeparator" w:id="0">
    <w:p w:rsidR="00DC68A6" w:rsidRDefault="00DC68A6" w:rsidP="0020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B" w:rsidRDefault="00DC0A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Página </w:t>
    </w:r>
    <w:r w:rsidR="0020674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PAGE</w:instrText>
    </w:r>
    <w:r w:rsidR="0020674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495C1D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20674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de </w:t>
    </w:r>
    <w:r w:rsidR="0020674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NUMPAGES</w:instrText>
    </w:r>
    <w:r w:rsidR="0020674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495C1D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20674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</w:p>
  <w:p w:rsidR="0020674B" w:rsidRDefault="002067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A6" w:rsidRDefault="00DC68A6" w:rsidP="0020674B">
      <w:pPr>
        <w:spacing w:after="0" w:line="240" w:lineRule="auto"/>
      </w:pPr>
      <w:r>
        <w:separator/>
      </w:r>
    </w:p>
  </w:footnote>
  <w:footnote w:type="continuationSeparator" w:id="0">
    <w:p w:rsidR="00DC68A6" w:rsidRDefault="00DC68A6" w:rsidP="0020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B" w:rsidRDefault="00DC0A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191770</wp:posOffset>
          </wp:positionH>
          <wp:positionV relativeFrom="paragraph">
            <wp:posOffset>-219707</wp:posOffset>
          </wp:positionV>
          <wp:extent cx="1001395" cy="6102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39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674B" w:rsidRDefault="002067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20674B" w:rsidRDefault="002067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B"/>
    <w:rsid w:val="000E159D"/>
    <w:rsid w:val="001014A8"/>
    <w:rsid w:val="0020674B"/>
    <w:rsid w:val="002412CB"/>
    <w:rsid w:val="00495C1D"/>
    <w:rsid w:val="00553F7B"/>
    <w:rsid w:val="00597497"/>
    <w:rsid w:val="006108BB"/>
    <w:rsid w:val="006952FD"/>
    <w:rsid w:val="007804D7"/>
    <w:rsid w:val="007E2EDB"/>
    <w:rsid w:val="00B80F77"/>
    <w:rsid w:val="00BF0C2B"/>
    <w:rsid w:val="00C0166E"/>
    <w:rsid w:val="00DC0A16"/>
    <w:rsid w:val="00DC68A6"/>
    <w:rsid w:val="00E413A1"/>
    <w:rsid w:val="00EC2675"/>
    <w:rsid w:val="00ED0D58"/>
    <w:rsid w:val="00F03ABA"/>
    <w:rsid w:val="00FA28E2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067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067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067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067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067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067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0674B"/>
  </w:style>
  <w:style w:type="table" w:customStyle="1" w:styleId="TableNormal">
    <w:name w:val="Table Normal"/>
    <w:rsid w:val="002067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067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067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674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067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067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067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067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067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067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0674B"/>
  </w:style>
  <w:style w:type="table" w:customStyle="1" w:styleId="TableNormal">
    <w:name w:val="Table Normal"/>
    <w:rsid w:val="002067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067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067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674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Erika Torres Cornejo</dc:creator>
  <cp:lastModifiedBy>Tammy Erika Torres Cornejo</cp:lastModifiedBy>
  <cp:revision>4</cp:revision>
  <cp:lastPrinted>2021-04-01T17:29:00Z</cp:lastPrinted>
  <dcterms:created xsi:type="dcterms:W3CDTF">2021-04-01T17:28:00Z</dcterms:created>
  <dcterms:modified xsi:type="dcterms:W3CDTF">2021-04-01T17:30:00Z</dcterms:modified>
</cp:coreProperties>
</file>