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CE" w:rsidRDefault="00E322CE" w:rsidP="00D92691">
      <w:pPr>
        <w:pStyle w:val="Prrafodelista"/>
        <w:suppressAutoHyphens/>
        <w:ind w:left="0"/>
        <w:jc w:val="both"/>
        <w:rPr>
          <w:rFonts w:ascii="Trebuchet MS" w:hAnsi="Trebuchet MS" w:cs="Arial"/>
          <w:b/>
          <w:sz w:val="24"/>
          <w:szCs w:val="24"/>
        </w:rPr>
      </w:pPr>
    </w:p>
    <w:p w:rsidR="005C0A5E" w:rsidRPr="00950283" w:rsidRDefault="005C0A5E" w:rsidP="00D92691">
      <w:pPr>
        <w:pStyle w:val="Prrafodelista"/>
        <w:suppressAutoHyphens/>
        <w:ind w:left="0"/>
        <w:jc w:val="both"/>
        <w:rPr>
          <w:rFonts w:ascii="Trebuchet MS" w:hAnsi="Trebuchet MS" w:cs="Arial"/>
          <w:b/>
          <w:sz w:val="24"/>
          <w:szCs w:val="24"/>
        </w:rPr>
      </w:pPr>
      <w:r w:rsidRPr="00950283">
        <w:rPr>
          <w:rFonts w:ascii="Trebuchet MS" w:hAnsi="Trebuchet MS" w:cs="Arial"/>
          <w:b/>
          <w:sz w:val="24"/>
          <w:szCs w:val="24"/>
        </w:rPr>
        <w:t>ACUERDO DEL CONSEJO GENERAL DEL INSTITUTO ELECTORAL Y DE PARTICIPACIÓN CIUDADANA DEL ESTADO DE JALISCO, MEDIANTE EL CUAL DE</w:t>
      </w:r>
      <w:r w:rsidR="006D0B68" w:rsidRPr="00950283">
        <w:rPr>
          <w:rFonts w:ascii="Trebuchet MS" w:hAnsi="Trebuchet MS" w:cs="Arial"/>
          <w:b/>
          <w:sz w:val="24"/>
          <w:szCs w:val="24"/>
        </w:rPr>
        <w:t>TERMINA AL ÓRGANO QUE SERVIRÁ DE ENLACE Y ESTARÁ A CARGO DE LA ATENCIÓN DE LOS ASUNTOS DEL SER</w:t>
      </w:r>
      <w:r w:rsidRPr="00950283">
        <w:rPr>
          <w:rFonts w:ascii="Trebuchet MS" w:hAnsi="Trebuchet MS" w:cs="Arial"/>
          <w:b/>
          <w:sz w:val="24"/>
          <w:szCs w:val="24"/>
          <w:lang w:val="es-MX"/>
        </w:rPr>
        <w:t>VICIO</w:t>
      </w:r>
      <w:r w:rsidRPr="00950283">
        <w:rPr>
          <w:rFonts w:ascii="Trebuchet MS" w:hAnsi="Trebuchet MS" w:cs="Arial"/>
          <w:b/>
          <w:sz w:val="24"/>
          <w:szCs w:val="24"/>
        </w:rPr>
        <w:t xml:space="preserve"> PROFESIONAL ELECTORAL NACIONAL</w:t>
      </w:r>
      <w:r w:rsidRPr="00950283">
        <w:rPr>
          <w:rFonts w:ascii="Trebuchet MS" w:hAnsi="Trebuchet MS" w:cs="Arial"/>
          <w:b/>
          <w:kern w:val="1"/>
          <w:sz w:val="24"/>
          <w:szCs w:val="24"/>
          <w:lang w:val="es-ES_tradnl" w:eastAsia="ar-SA"/>
        </w:rPr>
        <w:t>.</w:t>
      </w:r>
    </w:p>
    <w:p w:rsidR="00C45FF3" w:rsidRPr="00950283" w:rsidRDefault="00C45FF3" w:rsidP="00D92691">
      <w:pPr>
        <w:spacing w:after="0" w:line="240" w:lineRule="auto"/>
        <w:rPr>
          <w:rFonts w:ascii="Trebuchet MS" w:hAnsi="Trebuchet MS"/>
          <w:sz w:val="24"/>
          <w:szCs w:val="24"/>
          <w:lang w:val="es-ES"/>
        </w:rPr>
      </w:pPr>
    </w:p>
    <w:p w:rsidR="005C0A5E" w:rsidRDefault="005C0A5E" w:rsidP="00D92691">
      <w:pPr>
        <w:spacing w:after="0" w:line="240" w:lineRule="auto"/>
        <w:jc w:val="center"/>
        <w:rPr>
          <w:rFonts w:ascii="Trebuchet MS" w:hAnsi="Trebuchet MS" w:cs="Arial"/>
          <w:b/>
          <w:sz w:val="24"/>
          <w:szCs w:val="24"/>
          <w:lang w:val="pt-BR"/>
        </w:rPr>
      </w:pPr>
      <w:r w:rsidRPr="00950283">
        <w:rPr>
          <w:rFonts w:ascii="Trebuchet MS" w:hAnsi="Trebuchet MS" w:cs="Arial"/>
          <w:b/>
          <w:sz w:val="24"/>
          <w:szCs w:val="24"/>
          <w:lang w:val="pt-BR"/>
        </w:rPr>
        <w:t>A N T E C E D E N T E S</w:t>
      </w:r>
    </w:p>
    <w:p w:rsidR="00950283" w:rsidRPr="00950283" w:rsidRDefault="00950283" w:rsidP="00D92691">
      <w:pPr>
        <w:spacing w:after="0" w:line="240" w:lineRule="auto"/>
        <w:jc w:val="center"/>
        <w:rPr>
          <w:rFonts w:ascii="Trebuchet MS" w:hAnsi="Trebuchet MS" w:cs="Arial"/>
          <w:b/>
          <w:sz w:val="24"/>
          <w:szCs w:val="24"/>
          <w:lang w:val="pt-BR"/>
        </w:rPr>
      </w:pPr>
    </w:p>
    <w:p w:rsidR="00C45FF3" w:rsidRPr="00950283" w:rsidRDefault="00C45FF3" w:rsidP="00D92691">
      <w:pPr>
        <w:spacing w:after="0" w:line="240" w:lineRule="auto"/>
        <w:jc w:val="center"/>
        <w:rPr>
          <w:rFonts w:ascii="Trebuchet MS" w:hAnsi="Trebuchet MS" w:cs="Arial"/>
          <w:b/>
          <w:sz w:val="24"/>
          <w:szCs w:val="24"/>
          <w:lang w:val="pt-BR"/>
        </w:rPr>
      </w:pPr>
    </w:p>
    <w:p w:rsidR="00877E03" w:rsidRPr="00950283" w:rsidRDefault="005C0A5E" w:rsidP="00D92691">
      <w:pPr>
        <w:spacing w:after="0" w:line="240" w:lineRule="auto"/>
        <w:jc w:val="both"/>
        <w:rPr>
          <w:rFonts w:ascii="Trebuchet MS" w:hAnsi="Trebuchet MS" w:cs="Arial"/>
          <w:b/>
          <w:sz w:val="24"/>
          <w:szCs w:val="24"/>
        </w:rPr>
      </w:pPr>
      <w:r w:rsidRPr="00950283">
        <w:rPr>
          <w:rFonts w:ascii="Trebuchet MS" w:hAnsi="Trebuchet MS" w:cs="Arial"/>
          <w:b/>
          <w:sz w:val="24"/>
          <w:szCs w:val="24"/>
        </w:rPr>
        <w:t>C</w:t>
      </w:r>
      <w:r w:rsidR="00877E03" w:rsidRPr="00950283">
        <w:rPr>
          <w:rFonts w:ascii="Trebuchet MS" w:hAnsi="Trebuchet MS" w:cs="Arial"/>
          <w:b/>
          <w:sz w:val="24"/>
          <w:szCs w:val="24"/>
        </w:rPr>
        <w:t>ORRESPONDIENTE AL AÑO DOS MI</w:t>
      </w:r>
      <w:r w:rsidR="00BC437A" w:rsidRPr="00950283">
        <w:rPr>
          <w:rFonts w:ascii="Trebuchet MS" w:hAnsi="Trebuchet MS" w:cs="Arial"/>
          <w:b/>
          <w:sz w:val="24"/>
          <w:szCs w:val="24"/>
        </w:rPr>
        <w:t>L</w:t>
      </w:r>
      <w:r w:rsidR="00877E03" w:rsidRPr="00950283">
        <w:rPr>
          <w:rFonts w:ascii="Trebuchet MS" w:hAnsi="Trebuchet MS" w:cs="Arial"/>
          <w:b/>
          <w:sz w:val="24"/>
          <w:szCs w:val="24"/>
        </w:rPr>
        <w:t xml:space="preserve"> DIECIS</w:t>
      </w:r>
      <w:r w:rsidR="00506C48" w:rsidRPr="00950283">
        <w:rPr>
          <w:rFonts w:ascii="Trebuchet MS" w:hAnsi="Trebuchet MS" w:cs="Arial"/>
          <w:b/>
          <w:sz w:val="24"/>
          <w:szCs w:val="24"/>
        </w:rPr>
        <w:t>ÉIS</w:t>
      </w:r>
      <w:r w:rsidR="00877E03" w:rsidRPr="00950283">
        <w:rPr>
          <w:rFonts w:ascii="Trebuchet MS" w:hAnsi="Trebuchet MS" w:cs="Arial"/>
          <w:b/>
          <w:sz w:val="24"/>
          <w:szCs w:val="24"/>
        </w:rPr>
        <w:t>.</w:t>
      </w:r>
    </w:p>
    <w:p w:rsidR="005C0A5E" w:rsidRPr="00950283" w:rsidRDefault="005C0A5E" w:rsidP="00D92691">
      <w:pPr>
        <w:spacing w:after="0" w:line="240" w:lineRule="auto"/>
        <w:jc w:val="both"/>
        <w:rPr>
          <w:rFonts w:ascii="Trebuchet MS" w:hAnsi="Trebuchet MS" w:cs="Arial"/>
          <w:b/>
          <w:sz w:val="24"/>
          <w:szCs w:val="24"/>
        </w:rPr>
      </w:pPr>
    </w:p>
    <w:p w:rsidR="003C6DDC" w:rsidRPr="00950283" w:rsidRDefault="005C0A5E" w:rsidP="00D92691">
      <w:pPr>
        <w:spacing w:after="0" w:line="240" w:lineRule="auto"/>
        <w:jc w:val="both"/>
        <w:rPr>
          <w:rFonts w:ascii="Trebuchet MS" w:eastAsia="Times New Roman" w:hAnsi="Trebuchet MS" w:cs="Times New Roman"/>
          <w:kern w:val="2"/>
          <w:sz w:val="24"/>
          <w:szCs w:val="24"/>
          <w:lang w:val="es-ES_tradnl" w:eastAsia="ar-SA"/>
        </w:rPr>
      </w:pPr>
      <w:r w:rsidRPr="00950283">
        <w:rPr>
          <w:rFonts w:ascii="Trebuchet MS" w:eastAsia="Times New Roman" w:hAnsi="Trebuchet MS" w:cs="Arial"/>
          <w:b/>
          <w:sz w:val="24"/>
          <w:szCs w:val="24"/>
          <w:lang w:val="es-ES_tradnl" w:eastAsia="es-ES"/>
        </w:rPr>
        <w:t>1</w:t>
      </w:r>
      <w:r w:rsidR="00877E03" w:rsidRPr="00950283">
        <w:rPr>
          <w:rFonts w:ascii="Trebuchet MS" w:eastAsia="Times New Roman" w:hAnsi="Trebuchet MS" w:cs="Arial"/>
          <w:b/>
          <w:sz w:val="24"/>
          <w:szCs w:val="24"/>
          <w:lang w:val="es-ES_tradnl" w:eastAsia="es-ES"/>
        </w:rPr>
        <w:t>.</w:t>
      </w:r>
      <w:r w:rsidRPr="00950283">
        <w:rPr>
          <w:rFonts w:ascii="Trebuchet MS" w:eastAsia="Times New Roman" w:hAnsi="Trebuchet MS" w:cs="Arial"/>
          <w:b/>
          <w:bCs/>
          <w:sz w:val="24"/>
          <w:szCs w:val="24"/>
          <w:lang w:val="es-ES_tradnl" w:eastAsia="ar-SA"/>
        </w:rPr>
        <w:t xml:space="preserve"> </w:t>
      </w:r>
      <w:r w:rsidR="00877E03" w:rsidRPr="00950283">
        <w:rPr>
          <w:rFonts w:ascii="Trebuchet MS" w:eastAsia="Times New Roman" w:hAnsi="Trebuchet MS" w:cs="Arial"/>
          <w:b/>
          <w:bCs/>
          <w:sz w:val="24"/>
          <w:szCs w:val="24"/>
          <w:lang w:val="es-ES_tradnl" w:eastAsia="ar-SA"/>
        </w:rPr>
        <w:t>DE</w:t>
      </w:r>
      <w:r w:rsidR="00506C48" w:rsidRPr="00950283">
        <w:rPr>
          <w:rFonts w:ascii="Trebuchet MS" w:eastAsia="Times New Roman" w:hAnsi="Trebuchet MS" w:cs="Arial"/>
          <w:b/>
          <w:bCs/>
          <w:sz w:val="24"/>
          <w:szCs w:val="24"/>
          <w:lang w:val="es-ES_tradnl" w:eastAsia="ar-SA"/>
        </w:rPr>
        <w:t>TERMINACIÓN DEL ENLACE QUE ESTARÁ A CARGO DE LA ATENCIÓN DE LOS ASUNTOS DEL SERVICIO PROFESIONAL NACIONAL ELECTORAL</w:t>
      </w:r>
      <w:r w:rsidRPr="00950283">
        <w:rPr>
          <w:rFonts w:ascii="Trebuchet MS" w:eastAsia="Times New Roman" w:hAnsi="Trebuchet MS" w:cs="Times New Roman"/>
          <w:b/>
          <w:kern w:val="2"/>
          <w:sz w:val="24"/>
          <w:szCs w:val="24"/>
          <w:lang w:val="es-ES_tradnl" w:eastAsia="ar-SA"/>
        </w:rPr>
        <w:t>.</w:t>
      </w:r>
      <w:r w:rsidR="004C434F" w:rsidRPr="00950283">
        <w:rPr>
          <w:rFonts w:ascii="Trebuchet MS" w:eastAsia="Times New Roman" w:hAnsi="Trebuchet MS" w:cs="Times New Roman"/>
          <w:kern w:val="2"/>
          <w:sz w:val="24"/>
          <w:szCs w:val="24"/>
          <w:lang w:val="es-ES_tradnl" w:eastAsia="ar-SA"/>
        </w:rPr>
        <w:t xml:space="preserve"> El </w:t>
      </w:r>
      <w:r w:rsidR="003C6DDC" w:rsidRPr="00950283">
        <w:rPr>
          <w:rFonts w:ascii="Trebuchet MS" w:eastAsia="Times New Roman" w:hAnsi="Trebuchet MS" w:cs="Times New Roman"/>
          <w:kern w:val="2"/>
          <w:sz w:val="24"/>
          <w:szCs w:val="24"/>
          <w:lang w:val="es-ES_tradnl" w:eastAsia="ar-SA"/>
        </w:rPr>
        <w:t>treinta de junio</w:t>
      </w:r>
      <w:r w:rsidR="00877E03" w:rsidRPr="00950283">
        <w:rPr>
          <w:rFonts w:ascii="Trebuchet MS" w:eastAsia="Times New Roman" w:hAnsi="Trebuchet MS" w:cs="Times New Roman"/>
          <w:kern w:val="2"/>
          <w:sz w:val="24"/>
          <w:szCs w:val="24"/>
          <w:lang w:val="es-ES_tradnl" w:eastAsia="ar-SA"/>
        </w:rPr>
        <w:t xml:space="preserve">, </w:t>
      </w:r>
      <w:r w:rsidR="00BC437A" w:rsidRPr="00950283">
        <w:rPr>
          <w:rFonts w:ascii="Trebuchet MS" w:eastAsia="Times New Roman" w:hAnsi="Trebuchet MS" w:cs="Times New Roman"/>
          <w:kern w:val="2"/>
          <w:sz w:val="24"/>
          <w:szCs w:val="24"/>
          <w:lang w:val="es-ES_tradnl" w:eastAsia="ar-SA"/>
        </w:rPr>
        <w:t>mediante acuerdo IEPC-ACG-0</w:t>
      </w:r>
      <w:r w:rsidR="003C6DDC" w:rsidRPr="00950283">
        <w:rPr>
          <w:rFonts w:ascii="Trebuchet MS" w:eastAsia="Times New Roman" w:hAnsi="Trebuchet MS" w:cs="Times New Roman"/>
          <w:kern w:val="2"/>
          <w:sz w:val="24"/>
          <w:szCs w:val="24"/>
          <w:lang w:val="es-ES_tradnl" w:eastAsia="ar-SA"/>
        </w:rPr>
        <w:t>31</w:t>
      </w:r>
      <w:r w:rsidR="00BC437A" w:rsidRPr="00950283">
        <w:rPr>
          <w:rFonts w:ascii="Trebuchet MS" w:eastAsia="Times New Roman" w:hAnsi="Trebuchet MS" w:cs="Times New Roman"/>
          <w:kern w:val="2"/>
          <w:sz w:val="24"/>
          <w:szCs w:val="24"/>
          <w:lang w:val="es-ES_tradnl" w:eastAsia="ar-SA"/>
        </w:rPr>
        <w:t>/201</w:t>
      </w:r>
      <w:r w:rsidR="003C6DDC" w:rsidRPr="00950283">
        <w:rPr>
          <w:rFonts w:ascii="Trebuchet MS" w:eastAsia="Times New Roman" w:hAnsi="Trebuchet MS" w:cs="Times New Roman"/>
          <w:kern w:val="2"/>
          <w:sz w:val="24"/>
          <w:szCs w:val="24"/>
          <w:lang w:val="es-ES_tradnl" w:eastAsia="ar-SA"/>
        </w:rPr>
        <w:t>6</w:t>
      </w:r>
      <w:r w:rsidR="00BC437A" w:rsidRPr="00950283">
        <w:rPr>
          <w:rFonts w:ascii="Trebuchet MS" w:eastAsia="Times New Roman" w:hAnsi="Trebuchet MS" w:cs="Times New Roman"/>
          <w:kern w:val="2"/>
          <w:sz w:val="24"/>
          <w:szCs w:val="24"/>
          <w:lang w:val="es-ES_tradnl" w:eastAsia="ar-SA"/>
        </w:rPr>
        <w:t>, el Consejo General</w:t>
      </w:r>
      <w:r w:rsidR="003C6DDC" w:rsidRPr="00950283">
        <w:rPr>
          <w:rFonts w:ascii="Trebuchet MS" w:eastAsia="Times New Roman" w:hAnsi="Trebuchet MS" w:cs="Times New Roman"/>
          <w:kern w:val="2"/>
          <w:sz w:val="24"/>
          <w:szCs w:val="24"/>
          <w:lang w:val="es-ES_tradnl" w:eastAsia="ar-SA"/>
        </w:rPr>
        <w:t>, entre otras cosas, determinó que la Dirección de Administración y Finanzas de este Instituto, fuera el enlace con el Instituto Nacional Electoral, a cargo de la atención de los asuntos del servicio profesional de este organismo electoral.</w:t>
      </w:r>
    </w:p>
    <w:p w:rsidR="003C6DDC" w:rsidRPr="00950283" w:rsidRDefault="003C6DDC" w:rsidP="00D92691">
      <w:pPr>
        <w:spacing w:after="0" w:line="240" w:lineRule="auto"/>
        <w:jc w:val="both"/>
        <w:rPr>
          <w:rFonts w:ascii="Trebuchet MS" w:eastAsia="Times New Roman" w:hAnsi="Trebuchet MS" w:cs="Times New Roman"/>
          <w:kern w:val="2"/>
          <w:sz w:val="24"/>
          <w:szCs w:val="24"/>
          <w:lang w:val="es-ES_tradnl" w:eastAsia="ar-SA"/>
        </w:rPr>
      </w:pPr>
    </w:p>
    <w:p w:rsidR="00950283" w:rsidRDefault="00950283" w:rsidP="008154CA">
      <w:pPr>
        <w:tabs>
          <w:tab w:val="left" w:pos="1177"/>
        </w:tabs>
        <w:spacing w:after="0" w:line="240" w:lineRule="auto"/>
        <w:jc w:val="both"/>
        <w:rPr>
          <w:rFonts w:ascii="Trebuchet MS" w:hAnsi="Trebuchet MS"/>
          <w:b/>
          <w:bCs/>
          <w:sz w:val="24"/>
          <w:szCs w:val="24"/>
        </w:rPr>
      </w:pPr>
    </w:p>
    <w:p w:rsidR="008154CA" w:rsidRPr="00950283" w:rsidRDefault="008154CA" w:rsidP="008154CA">
      <w:pPr>
        <w:tabs>
          <w:tab w:val="left" w:pos="1177"/>
        </w:tabs>
        <w:spacing w:after="0" w:line="240" w:lineRule="auto"/>
        <w:jc w:val="both"/>
        <w:rPr>
          <w:rFonts w:ascii="Trebuchet MS" w:hAnsi="Trebuchet MS"/>
          <w:b/>
          <w:bCs/>
          <w:sz w:val="24"/>
          <w:szCs w:val="24"/>
        </w:rPr>
      </w:pPr>
      <w:r w:rsidRPr="00950283">
        <w:rPr>
          <w:rFonts w:ascii="Trebuchet MS" w:hAnsi="Trebuchet MS"/>
          <w:b/>
          <w:bCs/>
          <w:sz w:val="24"/>
          <w:szCs w:val="24"/>
        </w:rPr>
        <w:t>CORRESPONDIENTE</w:t>
      </w:r>
      <w:r w:rsidR="00BF277E" w:rsidRPr="00950283">
        <w:rPr>
          <w:rFonts w:ascii="Trebuchet MS" w:hAnsi="Trebuchet MS"/>
          <w:b/>
          <w:bCs/>
          <w:sz w:val="24"/>
          <w:szCs w:val="24"/>
        </w:rPr>
        <w:t>S</w:t>
      </w:r>
      <w:r w:rsidRPr="00950283">
        <w:rPr>
          <w:rFonts w:ascii="Trebuchet MS" w:hAnsi="Trebuchet MS"/>
          <w:b/>
          <w:bCs/>
          <w:sz w:val="24"/>
          <w:szCs w:val="24"/>
        </w:rPr>
        <w:t xml:space="preserve"> AL AÑO DOS MIL VEINTIDÓS.</w:t>
      </w:r>
    </w:p>
    <w:p w:rsidR="008154CA" w:rsidRPr="00950283" w:rsidRDefault="008154CA" w:rsidP="008154CA">
      <w:pPr>
        <w:tabs>
          <w:tab w:val="left" w:pos="1177"/>
        </w:tabs>
        <w:spacing w:after="0" w:line="240" w:lineRule="auto"/>
        <w:jc w:val="both"/>
        <w:rPr>
          <w:rFonts w:ascii="Trebuchet MS" w:hAnsi="Trebuchet MS"/>
          <w:b/>
          <w:bCs/>
          <w:sz w:val="24"/>
          <w:szCs w:val="24"/>
        </w:rPr>
      </w:pPr>
    </w:p>
    <w:p w:rsidR="006A4F47" w:rsidRPr="00950283" w:rsidRDefault="008154CA" w:rsidP="006A4F47">
      <w:pPr>
        <w:tabs>
          <w:tab w:val="left" w:pos="1177"/>
        </w:tabs>
        <w:spacing w:after="0" w:line="240" w:lineRule="auto"/>
        <w:jc w:val="both"/>
        <w:rPr>
          <w:rFonts w:ascii="Trebuchet MS" w:eastAsia="Times New Roman" w:hAnsi="Trebuchet MS"/>
          <w:kern w:val="18"/>
          <w:sz w:val="24"/>
          <w:szCs w:val="24"/>
          <w:lang w:val="es-ES_tradnl" w:eastAsia="es-ES"/>
        </w:rPr>
      </w:pPr>
      <w:r w:rsidRPr="00950283">
        <w:rPr>
          <w:rFonts w:ascii="Trebuchet MS" w:hAnsi="Trebuchet MS"/>
          <w:b/>
          <w:bCs/>
          <w:sz w:val="24"/>
          <w:szCs w:val="24"/>
        </w:rPr>
        <w:t xml:space="preserve">2. </w:t>
      </w:r>
      <w:r w:rsidR="006A4F47" w:rsidRPr="00950283">
        <w:rPr>
          <w:rFonts w:ascii="Trebuchet MS" w:hAnsi="Trebuchet MS"/>
          <w:b/>
          <w:bCs/>
          <w:sz w:val="24"/>
          <w:szCs w:val="24"/>
        </w:rPr>
        <w:t xml:space="preserve">APROBACIÓN DEL </w:t>
      </w:r>
      <w:r w:rsidR="006A4F47" w:rsidRPr="00950283">
        <w:rPr>
          <w:rFonts w:ascii="Trebuchet MS" w:hAnsi="Trebuchet MS"/>
          <w:b/>
          <w:sz w:val="24"/>
          <w:szCs w:val="24"/>
        </w:rPr>
        <w:t xml:space="preserve">PRESUPUESTO DE EGRESOS PARA EL EJERCICIO FISCAL DEL AÑO DOS MIL VEINTIDÓS DE ESTE ORGANISMO ELECTORAL. </w:t>
      </w:r>
      <w:r w:rsidR="006A4F47" w:rsidRPr="00950283">
        <w:rPr>
          <w:rFonts w:ascii="Trebuchet MS" w:eastAsia="Times New Roman" w:hAnsi="Trebuchet MS"/>
          <w:kern w:val="18"/>
          <w:sz w:val="24"/>
          <w:szCs w:val="24"/>
          <w:lang w:eastAsia="es-ES"/>
        </w:rPr>
        <w:t xml:space="preserve">El ocho de </w:t>
      </w:r>
      <w:r w:rsidR="006A4F47" w:rsidRPr="00950283">
        <w:rPr>
          <w:rFonts w:ascii="Trebuchet MS" w:hAnsi="Trebuchet MS"/>
          <w:bCs/>
          <w:sz w:val="24"/>
          <w:szCs w:val="24"/>
          <w:lang w:val="es-ES"/>
        </w:rPr>
        <w:t xml:space="preserve">enero, mediante acuerdo IEPC-ACG-001/2022, el Consejo General de este Instituto aprobó </w:t>
      </w:r>
      <w:r w:rsidR="006A4F47" w:rsidRPr="00950283">
        <w:rPr>
          <w:rFonts w:ascii="Trebuchet MS" w:hAnsi="Trebuchet MS"/>
          <w:sz w:val="24"/>
          <w:szCs w:val="24"/>
          <w:lang w:eastAsia="es-ES"/>
        </w:rPr>
        <w:t>el presupuesto de egresos de este organismo electoral para el ejercicio fiscal del año dos mil veintidós</w:t>
      </w:r>
      <w:r w:rsidR="00E31EE3" w:rsidRPr="00950283">
        <w:rPr>
          <w:rFonts w:ascii="Trebuchet MS" w:hAnsi="Trebuchet MS" w:cs="Arial"/>
          <w:bCs/>
          <w:sz w:val="24"/>
          <w:szCs w:val="24"/>
        </w:rPr>
        <w:t>, en el cual desapareció la Dirección de Administración y Finanzas y se creó la Dirección Ejecutiva de Administración e Innovación.</w:t>
      </w:r>
    </w:p>
    <w:p w:rsidR="006A4F47" w:rsidRPr="00950283" w:rsidRDefault="006A4F47" w:rsidP="008154CA">
      <w:pPr>
        <w:tabs>
          <w:tab w:val="left" w:pos="1177"/>
        </w:tabs>
        <w:spacing w:after="0" w:line="240" w:lineRule="auto"/>
        <w:jc w:val="both"/>
        <w:rPr>
          <w:rFonts w:ascii="Trebuchet MS" w:hAnsi="Trebuchet MS"/>
          <w:b/>
          <w:bCs/>
          <w:sz w:val="24"/>
          <w:szCs w:val="24"/>
        </w:rPr>
      </w:pPr>
    </w:p>
    <w:p w:rsidR="00E31EE3" w:rsidRPr="00C25554" w:rsidRDefault="003C6D4A" w:rsidP="008154CA">
      <w:pPr>
        <w:tabs>
          <w:tab w:val="left" w:pos="1177"/>
        </w:tabs>
        <w:spacing w:after="0" w:line="240" w:lineRule="auto"/>
        <w:jc w:val="both"/>
        <w:rPr>
          <w:rFonts w:ascii="Trebuchet MS" w:hAnsi="Trebuchet MS"/>
          <w:bCs/>
          <w:sz w:val="24"/>
          <w:szCs w:val="24"/>
          <w:lang w:val="es-ES"/>
        </w:rPr>
      </w:pPr>
      <w:r w:rsidRPr="009B74A6">
        <w:rPr>
          <w:rFonts w:ascii="Trebuchet MS" w:hAnsi="Trebuchet MS"/>
          <w:b/>
          <w:bCs/>
          <w:sz w:val="24"/>
          <w:szCs w:val="24"/>
        </w:rPr>
        <w:t xml:space="preserve">3. </w:t>
      </w:r>
      <w:r w:rsidR="008154CA" w:rsidRPr="009B74A6">
        <w:rPr>
          <w:rFonts w:ascii="Trebuchet MS" w:eastAsia="Times New Roman" w:hAnsi="Trebuchet MS"/>
          <w:b/>
          <w:kern w:val="18"/>
          <w:sz w:val="24"/>
          <w:szCs w:val="24"/>
          <w:lang w:eastAsia="es-ES"/>
        </w:rPr>
        <w:t xml:space="preserve">DESIGNACIÓN DEL TITULAR DE LA DIRECCIÓN EJECUTIVA DE ADMINISTRACIÓN E INNOVACIÓN DE ESTE INSTITUTO. </w:t>
      </w:r>
      <w:r w:rsidR="008154CA" w:rsidRPr="009B74A6">
        <w:rPr>
          <w:rFonts w:ascii="Trebuchet MS" w:eastAsia="Times New Roman" w:hAnsi="Trebuchet MS"/>
          <w:kern w:val="18"/>
          <w:sz w:val="24"/>
          <w:szCs w:val="24"/>
          <w:lang w:eastAsia="es-ES"/>
        </w:rPr>
        <w:t xml:space="preserve">El veinticinco de </w:t>
      </w:r>
      <w:r w:rsidR="008154CA" w:rsidRPr="009B74A6">
        <w:rPr>
          <w:rFonts w:ascii="Trebuchet MS" w:hAnsi="Trebuchet MS"/>
          <w:bCs/>
          <w:sz w:val="24"/>
          <w:szCs w:val="24"/>
          <w:lang w:val="es-ES"/>
        </w:rPr>
        <w:t>enero, mediante acuerdo IEPC-ACG-005/2022, el Consejo General de este Instituto aprobó</w:t>
      </w:r>
      <w:r w:rsidR="00C25554" w:rsidRPr="009B74A6">
        <w:rPr>
          <w:rFonts w:ascii="Trebuchet MS" w:hAnsi="Trebuchet MS"/>
          <w:bCs/>
          <w:sz w:val="24"/>
          <w:szCs w:val="24"/>
          <w:lang w:val="es-ES"/>
        </w:rPr>
        <w:t xml:space="preserve"> designar a Fernando Pérez Núñez como </w:t>
      </w:r>
      <w:r w:rsidR="008154CA" w:rsidRPr="009B74A6">
        <w:rPr>
          <w:rFonts w:ascii="Trebuchet MS" w:eastAsia="Times New Roman" w:hAnsi="Trebuchet MS"/>
          <w:kern w:val="18"/>
          <w:sz w:val="24"/>
          <w:szCs w:val="24"/>
          <w:lang w:val="es-ES_tradnl" w:eastAsia="es-ES"/>
        </w:rPr>
        <w:t>titular de la Dirección Ejecutiva de Administración e Innovación de este Instituto</w:t>
      </w:r>
      <w:r w:rsidR="00647D56" w:rsidRPr="009B74A6">
        <w:rPr>
          <w:rFonts w:ascii="Trebuchet MS" w:eastAsia="Times New Roman" w:hAnsi="Trebuchet MS"/>
          <w:kern w:val="18"/>
          <w:sz w:val="24"/>
          <w:szCs w:val="24"/>
          <w:lang w:val="es-ES_tradnl" w:eastAsia="es-ES"/>
        </w:rPr>
        <w:t xml:space="preserve">, </w:t>
      </w:r>
      <w:r w:rsidR="00E31EE3" w:rsidRPr="009B74A6">
        <w:rPr>
          <w:rFonts w:ascii="Trebuchet MS" w:eastAsia="Times New Roman" w:hAnsi="Trebuchet MS"/>
          <w:kern w:val="18"/>
          <w:sz w:val="24"/>
          <w:szCs w:val="24"/>
          <w:lang w:val="es-ES_tradnl" w:eastAsia="es-ES"/>
        </w:rPr>
        <w:t xml:space="preserve">ante la terminación de la relación laboral con la persona que ocupaba anteriormente dicho </w:t>
      </w:r>
      <w:r w:rsidR="00E31EE3" w:rsidRPr="009B74A6">
        <w:rPr>
          <w:rFonts w:ascii="Trebuchet MS" w:hAnsi="Trebuchet MS"/>
          <w:sz w:val="24"/>
          <w:szCs w:val="24"/>
        </w:rPr>
        <w:t>cargo</w:t>
      </w:r>
      <w:r w:rsidR="00C25554" w:rsidRPr="009B74A6">
        <w:rPr>
          <w:rFonts w:ascii="Trebuchet MS" w:eastAsia="Times New Roman" w:hAnsi="Trebuchet MS"/>
          <w:kern w:val="18"/>
          <w:sz w:val="24"/>
          <w:szCs w:val="24"/>
          <w:lang w:val="es-ES_tradnl" w:eastAsia="es-ES"/>
        </w:rPr>
        <w:t>, la cual ocurrió el veinticuatro de ese mismo mes.</w:t>
      </w:r>
    </w:p>
    <w:p w:rsidR="00950283" w:rsidRPr="00950283" w:rsidRDefault="00950283" w:rsidP="008154CA">
      <w:pPr>
        <w:tabs>
          <w:tab w:val="left" w:pos="1177"/>
        </w:tabs>
        <w:spacing w:after="0" w:line="240" w:lineRule="auto"/>
        <w:jc w:val="both"/>
        <w:rPr>
          <w:rFonts w:ascii="Trebuchet MS" w:eastAsia="Times New Roman" w:hAnsi="Trebuchet MS"/>
          <w:kern w:val="18"/>
          <w:sz w:val="24"/>
          <w:szCs w:val="24"/>
          <w:lang w:val="es-ES_tradnl" w:eastAsia="es-ES"/>
        </w:rPr>
      </w:pPr>
    </w:p>
    <w:p w:rsidR="00F629BA" w:rsidRPr="00950283" w:rsidRDefault="00F629BA" w:rsidP="00D92691">
      <w:pPr>
        <w:spacing w:after="0" w:line="240" w:lineRule="auto"/>
        <w:jc w:val="both"/>
        <w:rPr>
          <w:rFonts w:ascii="Trebuchet MS" w:hAnsi="Trebuchet MS"/>
          <w:sz w:val="24"/>
          <w:szCs w:val="24"/>
          <w:lang w:val="es-ES"/>
        </w:rPr>
      </w:pPr>
    </w:p>
    <w:p w:rsidR="005C0A5E" w:rsidRDefault="005C0A5E" w:rsidP="00D92691">
      <w:pPr>
        <w:suppressAutoHyphens/>
        <w:spacing w:after="0" w:line="240" w:lineRule="auto"/>
        <w:jc w:val="center"/>
        <w:rPr>
          <w:rFonts w:ascii="Trebuchet MS" w:eastAsia="Times New Roman" w:hAnsi="Trebuchet MS" w:cs="Arial"/>
          <w:b/>
          <w:sz w:val="24"/>
          <w:szCs w:val="24"/>
          <w:lang w:val="pt-BR" w:eastAsia="ar-SA"/>
        </w:rPr>
      </w:pPr>
      <w:r w:rsidRPr="00950283">
        <w:rPr>
          <w:rFonts w:ascii="Trebuchet MS" w:eastAsia="Times New Roman" w:hAnsi="Trebuchet MS" w:cs="Arial"/>
          <w:b/>
          <w:sz w:val="24"/>
          <w:szCs w:val="24"/>
          <w:lang w:val="pt-BR" w:eastAsia="ar-SA"/>
        </w:rPr>
        <w:t>C O N S I D E R A N D O</w:t>
      </w:r>
    </w:p>
    <w:p w:rsidR="00950283" w:rsidRPr="00950283" w:rsidRDefault="00950283" w:rsidP="00D92691">
      <w:pPr>
        <w:suppressAutoHyphens/>
        <w:spacing w:after="0" w:line="240" w:lineRule="auto"/>
        <w:jc w:val="center"/>
        <w:rPr>
          <w:rFonts w:ascii="Trebuchet MS" w:eastAsia="Times New Roman" w:hAnsi="Trebuchet MS" w:cs="Arial"/>
          <w:b/>
          <w:sz w:val="24"/>
          <w:szCs w:val="24"/>
          <w:lang w:val="pt-BR" w:eastAsia="ar-SA"/>
        </w:rPr>
      </w:pPr>
    </w:p>
    <w:p w:rsidR="005C0A5E" w:rsidRPr="00950283" w:rsidRDefault="005C0A5E" w:rsidP="00D92691">
      <w:pPr>
        <w:suppressAutoHyphens/>
        <w:spacing w:after="0" w:line="240" w:lineRule="auto"/>
        <w:jc w:val="center"/>
        <w:rPr>
          <w:rFonts w:ascii="Trebuchet MS" w:eastAsia="Times New Roman" w:hAnsi="Trebuchet MS" w:cs="Arial"/>
          <w:b/>
          <w:sz w:val="24"/>
          <w:szCs w:val="24"/>
          <w:lang w:val="pt-BR" w:eastAsia="ar-SA"/>
        </w:rPr>
      </w:pPr>
    </w:p>
    <w:p w:rsidR="00282962" w:rsidRPr="00950283" w:rsidRDefault="00282962" w:rsidP="00282962">
      <w:pPr>
        <w:spacing w:after="0" w:line="240" w:lineRule="auto"/>
        <w:jc w:val="both"/>
        <w:rPr>
          <w:rFonts w:ascii="Trebuchet MS" w:eastAsia="Calibri" w:hAnsi="Trebuchet MS" w:cs="Arial"/>
          <w:sz w:val="24"/>
          <w:szCs w:val="24"/>
        </w:rPr>
      </w:pPr>
      <w:r w:rsidRPr="00950283">
        <w:rPr>
          <w:rFonts w:ascii="Trebuchet MS" w:eastAsia="Calibri" w:hAnsi="Trebuchet MS" w:cs="Arial"/>
          <w:b/>
          <w:sz w:val="24"/>
          <w:szCs w:val="24"/>
        </w:rPr>
        <w:t xml:space="preserve">I. DEL INSTITUTO ELECTORAL Y DE PARTICIPACIÓN CIUDADANA DEL ESTADO DE JALISCO. </w:t>
      </w:r>
      <w:r w:rsidRPr="00950283">
        <w:rPr>
          <w:rFonts w:ascii="Trebuchet MS" w:eastAsia="Calibri" w:hAnsi="Trebuchet MS" w:cs="Arial"/>
          <w:sz w:val="24"/>
          <w:szCs w:val="24"/>
        </w:rPr>
        <w:t xml:space="preserve">Que es un organismo público local electoral, de carácter permanente, </w:t>
      </w:r>
      <w:r w:rsidRPr="00950283">
        <w:rPr>
          <w:rFonts w:ascii="Trebuchet MS" w:eastAsia="Calibri" w:hAnsi="Trebuchet MS" w:cs="Arial"/>
          <w:sz w:val="24"/>
          <w:szCs w:val="24"/>
        </w:rPr>
        <w:lastRenderedPageBreak/>
        <w:t>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82962" w:rsidRPr="00950283" w:rsidRDefault="00282962" w:rsidP="00282962">
      <w:pPr>
        <w:spacing w:after="0" w:line="240" w:lineRule="auto"/>
        <w:jc w:val="both"/>
        <w:rPr>
          <w:rFonts w:ascii="Trebuchet MS" w:eastAsia="Calibri" w:hAnsi="Trebuchet MS" w:cs="Arial"/>
          <w:sz w:val="24"/>
          <w:szCs w:val="24"/>
        </w:rPr>
      </w:pPr>
    </w:p>
    <w:p w:rsidR="00282962" w:rsidRPr="00950283" w:rsidRDefault="00282962" w:rsidP="00282962">
      <w:pPr>
        <w:spacing w:after="0" w:line="240" w:lineRule="auto"/>
        <w:jc w:val="both"/>
        <w:rPr>
          <w:rFonts w:ascii="Trebuchet MS" w:eastAsia="Calibri" w:hAnsi="Trebuchet MS" w:cs="Arial"/>
          <w:sz w:val="24"/>
          <w:szCs w:val="24"/>
        </w:rPr>
      </w:pPr>
      <w:r w:rsidRPr="00950283">
        <w:rPr>
          <w:rFonts w:ascii="Trebuchet MS" w:eastAsia="Calibri" w:hAnsi="Trebuchet MS" w:cs="Arial"/>
          <w:b/>
          <w:bCs/>
          <w:sz w:val="24"/>
          <w:szCs w:val="24"/>
        </w:rPr>
        <w:t>II.</w:t>
      </w:r>
      <w:r w:rsidRPr="00950283">
        <w:rPr>
          <w:rFonts w:ascii="Trebuchet MS" w:eastAsia="Calibri" w:hAnsi="Trebuchet MS" w:cs="Arial"/>
          <w:bCs/>
          <w:sz w:val="24"/>
          <w:szCs w:val="24"/>
        </w:rPr>
        <w:t xml:space="preserve"> </w:t>
      </w:r>
      <w:r w:rsidRPr="00950283">
        <w:rPr>
          <w:rFonts w:ascii="Trebuchet MS" w:eastAsia="Calibri" w:hAnsi="Trebuchet MS" w:cs="Times New Roman"/>
          <w:b/>
          <w:bCs/>
          <w:sz w:val="24"/>
          <w:szCs w:val="24"/>
        </w:rPr>
        <w:t xml:space="preserve">DEL CONSEJO GENERAL. </w:t>
      </w:r>
      <w:r w:rsidRPr="00950283">
        <w:rPr>
          <w:rFonts w:ascii="Trebuchet MS" w:eastAsia="Calibri" w:hAnsi="Trebuchet MS" w:cs="Times New Roman"/>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950283">
        <w:rPr>
          <w:rFonts w:ascii="Trebuchet MS" w:eastAsia="Calibri" w:hAnsi="Trebuchet MS" w:cs="Tahoma"/>
          <w:bCs/>
          <w:sz w:val="24"/>
          <w:szCs w:val="24"/>
          <w:lang w:val="es-ES_tradnl"/>
        </w:rPr>
        <w:t>tribuciones se encuentran: vigilar el cumplimiento de esta legislación y las disposiciones que con base en ella se dicten; así como dictar los acuerdos necesarios para hacer efectivas sus atribuciones, de conformidad con lo dispuesto por los artículos</w:t>
      </w:r>
      <w:r w:rsidRPr="00950283">
        <w:rPr>
          <w:rFonts w:ascii="Trebuchet MS" w:eastAsia="Calibri" w:hAnsi="Trebuchet MS" w:cs="Times New Roman"/>
          <w:sz w:val="24"/>
          <w:szCs w:val="24"/>
        </w:rPr>
        <w:t xml:space="preserve"> 12, Bases I y IV de la Constitución Política local; 120 y 134, </w:t>
      </w:r>
      <w:r w:rsidRPr="00950283">
        <w:rPr>
          <w:rFonts w:ascii="Trebuchet MS" w:eastAsia="Calibri" w:hAnsi="Trebuchet MS" w:cs="Arial"/>
          <w:sz w:val="24"/>
          <w:szCs w:val="24"/>
        </w:rPr>
        <w:t xml:space="preserve">párrafo 1, fracciones LI y LII del Código Electoral del Estado de Jalisco. </w:t>
      </w:r>
    </w:p>
    <w:p w:rsidR="002722E0" w:rsidRPr="00950283" w:rsidRDefault="002722E0" w:rsidP="00282962">
      <w:pPr>
        <w:spacing w:after="0" w:line="240" w:lineRule="auto"/>
        <w:jc w:val="both"/>
        <w:rPr>
          <w:rFonts w:ascii="Trebuchet MS" w:eastAsia="Calibri" w:hAnsi="Trebuchet MS" w:cs="Arial"/>
          <w:sz w:val="24"/>
          <w:szCs w:val="24"/>
        </w:rPr>
      </w:pPr>
    </w:p>
    <w:p w:rsidR="002722E0" w:rsidRPr="00950283" w:rsidRDefault="002722E0" w:rsidP="00282962">
      <w:pPr>
        <w:spacing w:after="0" w:line="240" w:lineRule="auto"/>
        <w:jc w:val="both"/>
        <w:rPr>
          <w:rFonts w:ascii="Trebuchet MS" w:eastAsia="Times New Roman" w:hAnsi="Trebuchet MS" w:cs="Arial"/>
          <w:bCs/>
          <w:sz w:val="24"/>
          <w:szCs w:val="24"/>
          <w:lang w:eastAsia="ar-SA"/>
        </w:rPr>
      </w:pPr>
      <w:r w:rsidRPr="00950283">
        <w:rPr>
          <w:rFonts w:ascii="Trebuchet MS" w:eastAsia="Calibri" w:hAnsi="Trebuchet MS" w:cs="Arial"/>
          <w:sz w:val="24"/>
          <w:szCs w:val="24"/>
        </w:rPr>
        <w:t>De igual manera, de conformidad con lo dispuesto por el artículo 376, fracción VII del Estatuto del Servicio Profesional Electoral Nacional y del Personal de la Rama Administrativa, en adelante el Estatuto, corresponde al órgano superior de dirección de cada organismo público local electoral, designar al órgano de enlace que atienda los asuntos del servicio profesional.</w:t>
      </w:r>
    </w:p>
    <w:p w:rsidR="00282962" w:rsidRPr="00950283" w:rsidRDefault="00282962" w:rsidP="00D92691">
      <w:pPr>
        <w:spacing w:after="0" w:line="240" w:lineRule="auto"/>
        <w:jc w:val="both"/>
        <w:rPr>
          <w:rFonts w:ascii="Trebuchet MS" w:hAnsi="Trebuchet MS"/>
          <w:b/>
          <w:sz w:val="24"/>
          <w:szCs w:val="24"/>
          <w:highlight w:val="cyan"/>
        </w:rPr>
      </w:pPr>
    </w:p>
    <w:p w:rsidR="005C0A5E" w:rsidRPr="00950283" w:rsidRDefault="007C613A" w:rsidP="00D92691">
      <w:pPr>
        <w:spacing w:after="0" w:line="240" w:lineRule="auto"/>
        <w:jc w:val="both"/>
        <w:rPr>
          <w:rFonts w:ascii="Trebuchet MS" w:hAnsi="Trebuchet MS"/>
          <w:sz w:val="24"/>
          <w:szCs w:val="24"/>
        </w:rPr>
      </w:pPr>
      <w:r w:rsidRPr="00950283">
        <w:rPr>
          <w:rFonts w:ascii="Trebuchet MS" w:hAnsi="Trebuchet MS" w:cs="Arial"/>
          <w:b/>
          <w:bCs/>
          <w:kern w:val="18"/>
          <w:sz w:val="24"/>
          <w:szCs w:val="24"/>
        </w:rPr>
        <w:t>III</w:t>
      </w:r>
      <w:r w:rsidR="00190DB9" w:rsidRPr="00950283">
        <w:rPr>
          <w:rFonts w:ascii="Trebuchet MS" w:hAnsi="Trebuchet MS" w:cs="Arial"/>
          <w:b/>
          <w:bCs/>
          <w:kern w:val="18"/>
          <w:sz w:val="24"/>
          <w:szCs w:val="24"/>
        </w:rPr>
        <w:t xml:space="preserve">. </w:t>
      </w:r>
      <w:r w:rsidR="005C0A5E" w:rsidRPr="00950283">
        <w:rPr>
          <w:rFonts w:ascii="Trebuchet MS" w:hAnsi="Trebuchet MS" w:cs="Arial"/>
          <w:b/>
          <w:bCs/>
          <w:kern w:val="18"/>
          <w:sz w:val="24"/>
          <w:szCs w:val="24"/>
        </w:rPr>
        <w:t>DEL ESTATUTO DEL SERVICIO PROFESIONAL</w:t>
      </w:r>
      <w:r w:rsidR="009415C5" w:rsidRPr="00950283">
        <w:rPr>
          <w:rFonts w:ascii="Trebuchet MS" w:hAnsi="Trebuchet MS" w:cs="Arial"/>
          <w:b/>
          <w:bCs/>
          <w:kern w:val="18"/>
          <w:sz w:val="24"/>
          <w:szCs w:val="24"/>
        </w:rPr>
        <w:t xml:space="preserve"> ELECTORAL NACIONAL Y DE LA RAMA ADMINISTRATIVA</w:t>
      </w:r>
      <w:r w:rsidR="005C0A5E" w:rsidRPr="00950283">
        <w:rPr>
          <w:rFonts w:ascii="Trebuchet MS" w:hAnsi="Trebuchet MS" w:cs="Arial"/>
          <w:b/>
          <w:bCs/>
          <w:kern w:val="18"/>
          <w:sz w:val="24"/>
          <w:szCs w:val="24"/>
        </w:rPr>
        <w:t xml:space="preserve">. </w:t>
      </w:r>
      <w:r w:rsidR="005C0A5E" w:rsidRPr="00950283">
        <w:rPr>
          <w:rFonts w:ascii="Trebuchet MS" w:hAnsi="Trebuchet MS" w:cs="Arial"/>
          <w:bCs/>
          <w:kern w:val="18"/>
          <w:sz w:val="24"/>
          <w:szCs w:val="24"/>
        </w:rPr>
        <w:t xml:space="preserve">Que el Estatuto regula la planeación, organización, operación y evaluación del servicio, los mecanismos de </w:t>
      </w:r>
      <w:r w:rsidR="005C0A5E" w:rsidRPr="00950283">
        <w:rPr>
          <w:rFonts w:ascii="Trebuchet MS" w:hAnsi="Trebuchet MS"/>
          <w:sz w:val="24"/>
          <w:szCs w:val="24"/>
        </w:rPr>
        <w:t xml:space="preserve">selección, ingreso, capacitación, profesionalización, promoción, evaluación, </w:t>
      </w:r>
      <w:r w:rsidR="00E83D14" w:rsidRPr="00950283">
        <w:rPr>
          <w:rFonts w:ascii="Trebuchet MS" w:hAnsi="Trebuchet MS"/>
          <w:sz w:val="24"/>
          <w:szCs w:val="24"/>
        </w:rPr>
        <w:t xml:space="preserve">cambios de adscripción, y </w:t>
      </w:r>
      <w:r w:rsidR="005C0A5E" w:rsidRPr="00950283">
        <w:rPr>
          <w:rFonts w:ascii="Trebuchet MS" w:hAnsi="Trebuchet MS"/>
          <w:sz w:val="24"/>
          <w:szCs w:val="24"/>
        </w:rPr>
        <w:t>rotación, permanencia</w:t>
      </w:r>
      <w:r w:rsidR="00E83D14" w:rsidRPr="00950283">
        <w:rPr>
          <w:rFonts w:ascii="Trebuchet MS" w:hAnsi="Trebuchet MS"/>
          <w:sz w:val="24"/>
          <w:szCs w:val="24"/>
        </w:rPr>
        <w:t xml:space="preserve">, incentivos </w:t>
      </w:r>
      <w:r w:rsidR="005C0A5E" w:rsidRPr="00950283">
        <w:rPr>
          <w:rFonts w:ascii="Trebuchet MS" w:hAnsi="Trebuchet MS"/>
          <w:sz w:val="24"/>
          <w:szCs w:val="24"/>
        </w:rPr>
        <w:t xml:space="preserve">y disciplina, </w:t>
      </w:r>
      <w:r w:rsidR="00E83D14" w:rsidRPr="00950283">
        <w:rPr>
          <w:rFonts w:ascii="Trebuchet MS" w:hAnsi="Trebuchet MS"/>
          <w:sz w:val="24"/>
          <w:szCs w:val="24"/>
        </w:rPr>
        <w:t xml:space="preserve">así como el sistema de ascenso del personal; </w:t>
      </w:r>
      <w:r w:rsidR="005C0A5E" w:rsidRPr="00950283">
        <w:rPr>
          <w:rFonts w:ascii="Trebuchet MS" w:hAnsi="Trebuchet MS"/>
          <w:sz w:val="24"/>
          <w:szCs w:val="24"/>
        </w:rPr>
        <w:t xml:space="preserve">establece las condiciones generales de trabajo, derechos, obligaciones, prohibiciones, procedimiento laboral </w:t>
      </w:r>
      <w:r w:rsidR="002A5063" w:rsidRPr="00950283">
        <w:rPr>
          <w:rFonts w:ascii="Trebuchet MS" w:hAnsi="Trebuchet MS"/>
          <w:sz w:val="24"/>
          <w:szCs w:val="24"/>
        </w:rPr>
        <w:t>sancionador</w:t>
      </w:r>
      <w:r w:rsidR="005C0A5E" w:rsidRPr="00950283">
        <w:rPr>
          <w:rFonts w:ascii="Trebuchet MS" w:hAnsi="Trebuchet MS"/>
          <w:sz w:val="24"/>
          <w:szCs w:val="24"/>
        </w:rPr>
        <w:t xml:space="preserve"> y </w:t>
      </w:r>
      <w:r w:rsidR="002A5063" w:rsidRPr="00950283">
        <w:rPr>
          <w:rFonts w:ascii="Trebuchet MS" w:hAnsi="Trebuchet MS"/>
          <w:sz w:val="24"/>
          <w:szCs w:val="24"/>
        </w:rPr>
        <w:t xml:space="preserve">los </w:t>
      </w:r>
      <w:r w:rsidR="005C0A5E" w:rsidRPr="00950283">
        <w:rPr>
          <w:rFonts w:ascii="Trebuchet MS" w:hAnsi="Trebuchet MS"/>
          <w:sz w:val="24"/>
          <w:szCs w:val="24"/>
        </w:rPr>
        <w:t xml:space="preserve">medios ordinarios de defensa, así como la contratación de </w:t>
      </w:r>
      <w:r w:rsidR="002A5063" w:rsidRPr="00950283">
        <w:rPr>
          <w:rFonts w:ascii="Trebuchet MS" w:hAnsi="Trebuchet MS"/>
          <w:sz w:val="24"/>
          <w:szCs w:val="24"/>
        </w:rPr>
        <w:t xml:space="preserve">las y los </w:t>
      </w:r>
      <w:r w:rsidR="005C0A5E" w:rsidRPr="00950283">
        <w:rPr>
          <w:rFonts w:ascii="Trebuchet MS" w:hAnsi="Trebuchet MS"/>
          <w:sz w:val="24"/>
          <w:szCs w:val="24"/>
        </w:rPr>
        <w:t xml:space="preserve">prestadores de servicio, tanto </w:t>
      </w:r>
      <w:r w:rsidR="002A5063" w:rsidRPr="00950283">
        <w:rPr>
          <w:rFonts w:ascii="Trebuchet MS" w:hAnsi="Trebuchet MS"/>
          <w:sz w:val="24"/>
          <w:szCs w:val="24"/>
        </w:rPr>
        <w:t xml:space="preserve">del personal de la rama </w:t>
      </w:r>
      <w:r w:rsidR="005C0A5E" w:rsidRPr="00950283">
        <w:rPr>
          <w:rFonts w:ascii="Trebuchet MS" w:hAnsi="Trebuchet MS"/>
          <w:sz w:val="24"/>
          <w:szCs w:val="24"/>
        </w:rPr>
        <w:t>administrativ</w:t>
      </w:r>
      <w:r w:rsidR="002A5063" w:rsidRPr="00950283">
        <w:rPr>
          <w:rFonts w:ascii="Trebuchet MS" w:hAnsi="Trebuchet MS"/>
          <w:sz w:val="24"/>
          <w:szCs w:val="24"/>
        </w:rPr>
        <w:t>a</w:t>
      </w:r>
      <w:r w:rsidR="005530F5" w:rsidRPr="00950283">
        <w:rPr>
          <w:rFonts w:ascii="Trebuchet MS" w:hAnsi="Trebuchet MS"/>
          <w:sz w:val="24"/>
          <w:szCs w:val="24"/>
        </w:rPr>
        <w:t xml:space="preserve"> y de </w:t>
      </w:r>
      <w:r w:rsidR="005C0A5E" w:rsidRPr="00950283">
        <w:rPr>
          <w:rFonts w:ascii="Trebuchet MS" w:hAnsi="Trebuchet MS"/>
          <w:sz w:val="24"/>
          <w:szCs w:val="24"/>
        </w:rPr>
        <w:t xml:space="preserve">los </w:t>
      </w:r>
      <w:r w:rsidR="009C7362" w:rsidRPr="00950283">
        <w:rPr>
          <w:rFonts w:ascii="Trebuchet MS" w:hAnsi="Trebuchet MS"/>
          <w:sz w:val="24"/>
          <w:szCs w:val="24"/>
        </w:rPr>
        <w:t>organismos públicos locales electorales</w:t>
      </w:r>
      <w:r w:rsidR="005C0A5E" w:rsidRPr="00950283">
        <w:rPr>
          <w:rFonts w:ascii="Trebuchet MS" w:hAnsi="Trebuchet MS"/>
          <w:sz w:val="24"/>
          <w:szCs w:val="24"/>
        </w:rPr>
        <w:t>, de conformidad con lo señalado por</w:t>
      </w:r>
      <w:r w:rsidR="00DC688B" w:rsidRPr="00950283">
        <w:rPr>
          <w:rFonts w:ascii="Trebuchet MS" w:hAnsi="Trebuchet MS"/>
          <w:sz w:val="24"/>
          <w:szCs w:val="24"/>
        </w:rPr>
        <w:t xml:space="preserve"> el artículo 1, párrafos I y IV del propio estatuto, en relación con los</w:t>
      </w:r>
      <w:r w:rsidR="005C0A5E" w:rsidRPr="00950283">
        <w:rPr>
          <w:rFonts w:ascii="Trebuchet MS" w:hAnsi="Trebuchet MS"/>
          <w:sz w:val="24"/>
          <w:szCs w:val="24"/>
        </w:rPr>
        <w:t xml:space="preserve"> artículos 203, párrafos 2 y 3</w:t>
      </w:r>
      <w:r w:rsidR="00437DB8" w:rsidRPr="00950283">
        <w:rPr>
          <w:rFonts w:ascii="Trebuchet MS" w:hAnsi="Trebuchet MS"/>
          <w:sz w:val="24"/>
          <w:szCs w:val="24"/>
        </w:rPr>
        <w:t xml:space="preserve"> y</w:t>
      </w:r>
      <w:r w:rsidR="005C0A5E" w:rsidRPr="00950283">
        <w:rPr>
          <w:rFonts w:ascii="Trebuchet MS" w:hAnsi="Trebuchet MS"/>
          <w:sz w:val="24"/>
          <w:szCs w:val="24"/>
        </w:rPr>
        <w:t xml:space="preserve"> 204 de la Ley General de Instituciones y Procedimientos Electorales.</w:t>
      </w:r>
    </w:p>
    <w:p w:rsidR="00190DB9" w:rsidRPr="00950283" w:rsidRDefault="00190DB9" w:rsidP="00D92691">
      <w:pPr>
        <w:spacing w:after="0" w:line="240" w:lineRule="auto"/>
        <w:jc w:val="both"/>
        <w:rPr>
          <w:rFonts w:ascii="Trebuchet MS" w:hAnsi="Trebuchet MS"/>
          <w:sz w:val="24"/>
          <w:szCs w:val="24"/>
        </w:rPr>
      </w:pPr>
    </w:p>
    <w:p w:rsidR="000A3B48" w:rsidRPr="00950283" w:rsidRDefault="007C613A" w:rsidP="00D92691">
      <w:pPr>
        <w:autoSpaceDE w:val="0"/>
        <w:autoSpaceDN w:val="0"/>
        <w:adjustRightInd w:val="0"/>
        <w:spacing w:after="0" w:line="240" w:lineRule="auto"/>
        <w:jc w:val="both"/>
        <w:rPr>
          <w:rFonts w:ascii="Trebuchet MS" w:hAnsi="Trebuchet MS" w:cs="Arial"/>
          <w:bCs/>
          <w:sz w:val="24"/>
          <w:szCs w:val="24"/>
        </w:rPr>
      </w:pPr>
      <w:r w:rsidRPr="00950283">
        <w:rPr>
          <w:rFonts w:ascii="Trebuchet MS" w:hAnsi="Trebuchet MS" w:cs="Arial"/>
          <w:b/>
          <w:sz w:val="24"/>
          <w:szCs w:val="24"/>
        </w:rPr>
        <w:lastRenderedPageBreak/>
        <w:t>IV</w:t>
      </w:r>
      <w:r w:rsidR="005C0A5E" w:rsidRPr="00950283">
        <w:rPr>
          <w:rFonts w:ascii="Trebuchet MS" w:hAnsi="Trebuchet MS" w:cs="Arial"/>
          <w:b/>
          <w:sz w:val="24"/>
          <w:szCs w:val="24"/>
        </w:rPr>
        <w:t>.</w:t>
      </w:r>
      <w:r w:rsidR="005A580C" w:rsidRPr="00950283">
        <w:rPr>
          <w:rFonts w:ascii="Trebuchet MS" w:hAnsi="Trebuchet MS" w:cs="Arial"/>
          <w:b/>
          <w:sz w:val="24"/>
          <w:szCs w:val="24"/>
        </w:rPr>
        <w:t xml:space="preserve"> </w:t>
      </w:r>
      <w:r w:rsidR="008D583A" w:rsidRPr="00950283">
        <w:rPr>
          <w:rFonts w:ascii="Trebuchet MS" w:hAnsi="Trebuchet MS" w:cs="Arial"/>
          <w:b/>
          <w:sz w:val="24"/>
          <w:szCs w:val="24"/>
        </w:rPr>
        <w:t>DE LOS ÓRGANOS DE ENLACE</w:t>
      </w:r>
      <w:r w:rsidR="005A580C" w:rsidRPr="00950283">
        <w:rPr>
          <w:rFonts w:ascii="Trebuchet MS" w:hAnsi="Trebuchet MS" w:cs="Arial"/>
          <w:b/>
          <w:bCs/>
          <w:sz w:val="24"/>
          <w:szCs w:val="24"/>
        </w:rPr>
        <w:t>.</w:t>
      </w:r>
      <w:r w:rsidR="005C0A5E" w:rsidRPr="00950283">
        <w:rPr>
          <w:rFonts w:ascii="Trebuchet MS" w:hAnsi="Trebuchet MS" w:cs="Arial"/>
          <w:bCs/>
          <w:sz w:val="24"/>
          <w:szCs w:val="24"/>
        </w:rPr>
        <w:t xml:space="preserve"> </w:t>
      </w:r>
      <w:r w:rsidR="00EF0EC1" w:rsidRPr="00950283">
        <w:rPr>
          <w:rFonts w:ascii="Trebuchet MS" w:hAnsi="Trebuchet MS" w:cs="Arial"/>
          <w:bCs/>
          <w:sz w:val="24"/>
          <w:szCs w:val="24"/>
        </w:rPr>
        <w:t>Que el artículo 8, fracción I del Estatuto, en lo que interesa, refiere lo siguiente:</w:t>
      </w:r>
    </w:p>
    <w:p w:rsidR="00EF0EC1" w:rsidRDefault="00EF0EC1" w:rsidP="00D92691">
      <w:pPr>
        <w:autoSpaceDE w:val="0"/>
        <w:autoSpaceDN w:val="0"/>
        <w:adjustRightInd w:val="0"/>
        <w:spacing w:after="0" w:line="240" w:lineRule="auto"/>
        <w:jc w:val="both"/>
        <w:rPr>
          <w:rFonts w:ascii="Trebuchet MS" w:hAnsi="Trebuchet MS" w:cs="Arial"/>
          <w:bCs/>
          <w:sz w:val="23"/>
          <w:szCs w:val="23"/>
        </w:rPr>
      </w:pPr>
    </w:p>
    <w:p w:rsidR="00EF0EC1" w:rsidRPr="00EF0EC1" w:rsidRDefault="00EF0EC1" w:rsidP="00EF0EC1">
      <w:pPr>
        <w:autoSpaceDE w:val="0"/>
        <w:autoSpaceDN w:val="0"/>
        <w:adjustRightInd w:val="0"/>
        <w:spacing w:after="0" w:line="240" w:lineRule="auto"/>
        <w:ind w:left="708"/>
        <w:jc w:val="both"/>
        <w:rPr>
          <w:rFonts w:ascii="Trebuchet MS" w:hAnsi="Trebuchet MS"/>
          <w:i/>
          <w:sz w:val="20"/>
          <w:szCs w:val="20"/>
        </w:rPr>
      </w:pPr>
      <w:r w:rsidRPr="00EF0EC1">
        <w:rPr>
          <w:rFonts w:ascii="Trebuchet MS" w:hAnsi="Trebuchet MS"/>
          <w:i/>
          <w:sz w:val="20"/>
          <w:szCs w:val="20"/>
        </w:rPr>
        <w:t>“</w:t>
      </w:r>
      <w:r w:rsidRPr="00EF0EC1">
        <w:rPr>
          <w:rFonts w:ascii="Trebuchet MS" w:hAnsi="Trebuchet MS"/>
          <w:b/>
          <w:i/>
          <w:sz w:val="20"/>
          <w:szCs w:val="20"/>
        </w:rPr>
        <w:t>Artículo 8.</w:t>
      </w:r>
      <w:r w:rsidRPr="00EF0EC1">
        <w:rPr>
          <w:rFonts w:ascii="Trebuchet MS" w:hAnsi="Trebuchet MS"/>
          <w:i/>
          <w:sz w:val="20"/>
          <w:szCs w:val="20"/>
        </w:rPr>
        <w:t xml:space="preserve"> </w:t>
      </w:r>
    </w:p>
    <w:p w:rsidR="00EF0EC1" w:rsidRPr="00EF0EC1" w:rsidRDefault="00EF0EC1" w:rsidP="00EF0EC1">
      <w:pPr>
        <w:autoSpaceDE w:val="0"/>
        <w:autoSpaceDN w:val="0"/>
        <w:adjustRightInd w:val="0"/>
        <w:spacing w:after="0" w:line="240" w:lineRule="auto"/>
        <w:ind w:left="708"/>
        <w:jc w:val="both"/>
        <w:rPr>
          <w:rFonts w:ascii="Trebuchet MS" w:hAnsi="Trebuchet MS"/>
          <w:i/>
          <w:sz w:val="20"/>
          <w:szCs w:val="20"/>
        </w:rPr>
      </w:pPr>
    </w:p>
    <w:p w:rsidR="00EF0EC1" w:rsidRPr="00EF0EC1" w:rsidRDefault="00EF0EC1" w:rsidP="00EF0EC1">
      <w:pPr>
        <w:autoSpaceDE w:val="0"/>
        <w:autoSpaceDN w:val="0"/>
        <w:adjustRightInd w:val="0"/>
        <w:spacing w:after="0" w:line="240" w:lineRule="auto"/>
        <w:ind w:left="708"/>
        <w:jc w:val="both"/>
        <w:rPr>
          <w:rFonts w:ascii="Trebuchet MS" w:hAnsi="Trebuchet MS"/>
          <w:i/>
          <w:sz w:val="20"/>
          <w:szCs w:val="20"/>
        </w:rPr>
      </w:pPr>
      <w:r w:rsidRPr="00EF0EC1">
        <w:rPr>
          <w:rFonts w:ascii="Trebuchet MS" w:hAnsi="Trebuchet MS"/>
          <w:i/>
          <w:sz w:val="20"/>
          <w:szCs w:val="20"/>
        </w:rPr>
        <w:t xml:space="preserve">Para una mejor comprensión del Estatuto se atenderán los términos siguientes: </w:t>
      </w:r>
    </w:p>
    <w:p w:rsidR="00EF0EC1" w:rsidRPr="00EF0EC1" w:rsidRDefault="00EF0EC1" w:rsidP="00EF0EC1">
      <w:pPr>
        <w:autoSpaceDE w:val="0"/>
        <w:autoSpaceDN w:val="0"/>
        <w:adjustRightInd w:val="0"/>
        <w:spacing w:after="0" w:line="240" w:lineRule="auto"/>
        <w:ind w:left="708"/>
        <w:jc w:val="both"/>
        <w:rPr>
          <w:rFonts w:ascii="Trebuchet MS" w:hAnsi="Trebuchet MS"/>
          <w:i/>
          <w:sz w:val="20"/>
          <w:szCs w:val="20"/>
        </w:rPr>
      </w:pPr>
    </w:p>
    <w:p w:rsidR="00EF0EC1" w:rsidRPr="00EF0EC1" w:rsidRDefault="00EF0EC1" w:rsidP="00EF0EC1">
      <w:pPr>
        <w:autoSpaceDE w:val="0"/>
        <w:autoSpaceDN w:val="0"/>
        <w:adjustRightInd w:val="0"/>
        <w:spacing w:after="0" w:line="240" w:lineRule="auto"/>
        <w:ind w:left="708"/>
        <w:jc w:val="both"/>
        <w:rPr>
          <w:rFonts w:ascii="Trebuchet MS" w:hAnsi="Trebuchet MS" w:cs="Arial"/>
          <w:bCs/>
          <w:i/>
          <w:sz w:val="20"/>
          <w:szCs w:val="20"/>
        </w:rPr>
      </w:pPr>
      <w:r w:rsidRPr="00EF0EC1">
        <w:rPr>
          <w:rFonts w:ascii="Trebuchet MS" w:hAnsi="Trebuchet MS"/>
          <w:i/>
          <w:sz w:val="20"/>
          <w:szCs w:val="20"/>
        </w:rPr>
        <w:t>I. Términos comunes al Servicio Profesional Electoral Nacional y a la Rama Administrativa:</w:t>
      </w:r>
    </w:p>
    <w:p w:rsidR="000A3B48" w:rsidRPr="00EF0EC1" w:rsidRDefault="000A3B48" w:rsidP="00EF0EC1">
      <w:pPr>
        <w:autoSpaceDE w:val="0"/>
        <w:autoSpaceDN w:val="0"/>
        <w:adjustRightInd w:val="0"/>
        <w:spacing w:after="0" w:line="240" w:lineRule="auto"/>
        <w:ind w:left="708"/>
        <w:jc w:val="both"/>
        <w:rPr>
          <w:rFonts w:ascii="Trebuchet MS" w:hAnsi="Trebuchet MS" w:cs="Arial"/>
          <w:bCs/>
          <w:i/>
          <w:sz w:val="20"/>
          <w:szCs w:val="20"/>
        </w:rPr>
      </w:pPr>
    </w:p>
    <w:p w:rsidR="000A3B48" w:rsidRPr="00EF0EC1" w:rsidRDefault="00EF0EC1" w:rsidP="00EF0EC1">
      <w:pPr>
        <w:autoSpaceDE w:val="0"/>
        <w:autoSpaceDN w:val="0"/>
        <w:adjustRightInd w:val="0"/>
        <w:spacing w:after="0" w:line="240" w:lineRule="auto"/>
        <w:ind w:left="708"/>
        <w:jc w:val="both"/>
        <w:rPr>
          <w:rFonts w:ascii="Trebuchet MS" w:hAnsi="Trebuchet MS"/>
          <w:i/>
          <w:sz w:val="20"/>
          <w:szCs w:val="20"/>
        </w:rPr>
      </w:pPr>
      <w:r w:rsidRPr="00EF0EC1">
        <w:rPr>
          <w:rFonts w:ascii="Trebuchet MS" w:hAnsi="Trebuchet MS"/>
          <w:i/>
          <w:sz w:val="20"/>
          <w:szCs w:val="20"/>
        </w:rPr>
        <w:t>…</w:t>
      </w:r>
      <w:r w:rsidRPr="00EF0EC1">
        <w:rPr>
          <w:rFonts w:ascii="Trebuchet MS" w:hAnsi="Trebuchet MS"/>
          <w:b/>
          <w:i/>
          <w:sz w:val="20"/>
          <w:szCs w:val="20"/>
        </w:rPr>
        <w:t>Órgano de enlace:</w:t>
      </w:r>
      <w:r w:rsidRPr="00EF0EC1">
        <w:rPr>
          <w:rFonts w:ascii="Trebuchet MS" w:hAnsi="Trebuchet MS"/>
          <w:i/>
          <w:sz w:val="20"/>
          <w:szCs w:val="20"/>
        </w:rPr>
        <w:t xml:space="preserve"> Órgano de cada OPLE que atiende los asuntos del Servicio en los términos del presente Estatuto…”</w:t>
      </w:r>
    </w:p>
    <w:p w:rsidR="00EF0EC1" w:rsidRPr="00EF0EC1" w:rsidRDefault="00EF0EC1" w:rsidP="00EF0EC1">
      <w:pPr>
        <w:autoSpaceDE w:val="0"/>
        <w:autoSpaceDN w:val="0"/>
        <w:adjustRightInd w:val="0"/>
        <w:spacing w:after="0" w:line="240" w:lineRule="auto"/>
        <w:ind w:left="708"/>
        <w:jc w:val="both"/>
        <w:rPr>
          <w:rFonts w:ascii="Trebuchet MS" w:hAnsi="Trebuchet MS"/>
          <w:i/>
          <w:sz w:val="20"/>
          <w:szCs w:val="20"/>
        </w:rPr>
      </w:pPr>
    </w:p>
    <w:p w:rsidR="00EF0EC1" w:rsidRDefault="00EF0EC1" w:rsidP="00D92691">
      <w:pPr>
        <w:autoSpaceDE w:val="0"/>
        <w:autoSpaceDN w:val="0"/>
        <w:adjustRightInd w:val="0"/>
        <w:spacing w:after="0" w:line="240" w:lineRule="auto"/>
        <w:jc w:val="both"/>
        <w:rPr>
          <w:rFonts w:ascii="Trebuchet MS" w:hAnsi="Trebuchet MS" w:cs="Arial"/>
          <w:bCs/>
          <w:sz w:val="23"/>
          <w:szCs w:val="23"/>
        </w:rPr>
      </w:pPr>
    </w:p>
    <w:p w:rsidR="008D583A" w:rsidRPr="00950283" w:rsidRDefault="000A3B48" w:rsidP="00D92691">
      <w:pPr>
        <w:autoSpaceDE w:val="0"/>
        <w:autoSpaceDN w:val="0"/>
        <w:adjustRightInd w:val="0"/>
        <w:spacing w:after="0" w:line="240" w:lineRule="auto"/>
        <w:jc w:val="both"/>
        <w:rPr>
          <w:rFonts w:ascii="Trebuchet MS" w:hAnsi="Trebuchet MS" w:cs="Arial"/>
          <w:bCs/>
          <w:sz w:val="24"/>
          <w:szCs w:val="24"/>
        </w:rPr>
      </w:pPr>
      <w:r w:rsidRPr="00950283">
        <w:rPr>
          <w:rFonts w:ascii="Trebuchet MS" w:hAnsi="Trebuchet MS" w:cs="Arial"/>
          <w:bCs/>
          <w:sz w:val="24"/>
          <w:szCs w:val="24"/>
        </w:rPr>
        <w:t xml:space="preserve">Por otro lado, </w:t>
      </w:r>
      <w:r w:rsidR="008D583A" w:rsidRPr="00950283">
        <w:rPr>
          <w:rFonts w:ascii="Trebuchet MS" w:hAnsi="Trebuchet MS" w:cs="Arial"/>
          <w:bCs/>
          <w:sz w:val="24"/>
          <w:szCs w:val="24"/>
        </w:rPr>
        <w:t>el artículo 377 del Estatuto señala:</w:t>
      </w:r>
    </w:p>
    <w:p w:rsidR="008D583A" w:rsidRDefault="008D583A" w:rsidP="00D92691">
      <w:pPr>
        <w:autoSpaceDE w:val="0"/>
        <w:autoSpaceDN w:val="0"/>
        <w:adjustRightInd w:val="0"/>
        <w:spacing w:after="0" w:line="240" w:lineRule="auto"/>
        <w:jc w:val="both"/>
        <w:rPr>
          <w:rFonts w:ascii="Trebuchet MS" w:hAnsi="Trebuchet MS" w:cs="Arial"/>
          <w:bCs/>
          <w:sz w:val="23"/>
          <w:szCs w:val="23"/>
        </w:rPr>
      </w:pPr>
    </w:p>
    <w:p w:rsidR="008D583A" w:rsidRPr="00C75D4A" w:rsidRDefault="00FF6A55" w:rsidP="00FF6A55">
      <w:pPr>
        <w:autoSpaceDE w:val="0"/>
        <w:autoSpaceDN w:val="0"/>
        <w:adjustRightInd w:val="0"/>
        <w:spacing w:after="0" w:line="240" w:lineRule="auto"/>
        <w:ind w:left="708"/>
        <w:jc w:val="both"/>
        <w:rPr>
          <w:rFonts w:ascii="Trebuchet MS" w:hAnsi="Trebuchet MS"/>
          <w:i/>
          <w:sz w:val="20"/>
          <w:szCs w:val="20"/>
        </w:rPr>
      </w:pPr>
      <w:r w:rsidRPr="00C75D4A">
        <w:rPr>
          <w:rFonts w:ascii="Trebuchet MS" w:hAnsi="Trebuchet MS"/>
          <w:i/>
          <w:sz w:val="20"/>
          <w:szCs w:val="20"/>
        </w:rPr>
        <w:t>“</w:t>
      </w:r>
      <w:r w:rsidR="008D583A" w:rsidRPr="00C75D4A">
        <w:rPr>
          <w:rFonts w:ascii="Trebuchet MS" w:hAnsi="Trebuchet MS"/>
          <w:b/>
          <w:i/>
          <w:sz w:val="20"/>
          <w:szCs w:val="20"/>
        </w:rPr>
        <w:t>Artículo 377.</w:t>
      </w:r>
      <w:r w:rsidR="008D583A" w:rsidRPr="00C75D4A">
        <w:rPr>
          <w:rFonts w:ascii="Trebuchet MS" w:hAnsi="Trebuchet MS"/>
          <w:i/>
          <w:sz w:val="20"/>
          <w:szCs w:val="20"/>
        </w:rPr>
        <w:t xml:space="preserve"> </w:t>
      </w:r>
    </w:p>
    <w:p w:rsidR="008D583A" w:rsidRPr="00C75D4A" w:rsidRDefault="008D583A" w:rsidP="00FF6A55">
      <w:pPr>
        <w:autoSpaceDE w:val="0"/>
        <w:autoSpaceDN w:val="0"/>
        <w:adjustRightInd w:val="0"/>
        <w:spacing w:after="0" w:line="240" w:lineRule="auto"/>
        <w:ind w:left="1416"/>
        <w:jc w:val="both"/>
        <w:rPr>
          <w:rFonts w:ascii="Trebuchet MS" w:hAnsi="Trebuchet MS"/>
          <w:i/>
          <w:sz w:val="20"/>
          <w:szCs w:val="20"/>
        </w:rPr>
      </w:pPr>
    </w:p>
    <w:p w:rsidR="008D583A" w:rsidRPr="00C75D4A" w:rsidRDefault="008D583A" w:rsidP="00FF6A55">
      <w:pPr>
        <w:pStyle w:val="Prrafodelista"/>
        <w:autoSpaceDE w:val="0"/>
        <w:autoSpaceDN w:val="0"/>
        <w:adjustRightInd w:val="0"/>
        <w:jc w:val="both"/>
        <w:rPr>
          <w:rFonts w:ascii="Trebuchet MS" w:hAnsi="Trebuchet MS"/>
          <w:i/>
        </w:rPr>
      </w:pPr>
      <w:r w:rsidRPr="00C75D4A">
        <w:rPr>
          <w:rFonts w:ascii="Trebuchet MS" w:hAnsi="Trebuchet MS"/>
          <w:i/>
        </w:rPr>
        <w:t>Los órganos de enlace de cada OPLE a cargo de la atención de los asuntos del Servicio contarán con el apoyo del personal necesario de acuerdo con el número de miembros del Servicio de los OPLE y tendrán las siguientes facultades:</w:t>
      </w:r>
    </w:p>
    <w:p w:rsidR="008D583A" w:rsidRPr="00C75D4A" w:rsidRDefault="008D583A" w:rsidP="00FF6A55">
      <w:pPr>
        <w:pStyle w:val="Prrafodelista"/>
        <w:autoSpaceDE w:val="0"/>
        <w:autoSpaceDN w:val="0"/>
        <w:adjustRightInd w:val="0"/>
        <w:jc w:val="both"/>
        <w:rPr>
          <w:rFonts w:ascii="Trebuchet MS" w:hAnsi="Trebuchet MS"/>
          <w:i/>
        </w:rPr>
      </w:pPr>
    </w:p>
    <w:p w:rsidR="008D583A" w:rsidRPr="00C75D4A" w:rsidRDefault="008D583A" w:rsidP="00FF6A55">
      <w:pPr>
        <w:pStyle w:val="Prrafodelista"/>
        <w:autoSpaceDE w:val="0"/>
        <w:autoSpaceDN w:val="0"/>
        <w:adjustRightInd w:val="0"/>
        <w:jc w:val="both"/>
        <w:rPr>
          <w:rFonts w:ascii="Trebuchet MS" w:hAnsi="Trebuchet MS"/>
          <w:i/>
        </w:rPr>
      </w:pPr>
      <w:r w:rsidRPr="00C75D4A">
        <w:rPr>
          <w:rFonts w:ascii="Trebuchet MS" w:hAnsi="Trebuchet MS"/>
          <w:i/>
        </w:rPr>
        <w:t xml:space="preserve">I. Fungir como enlace con el Instituto; </w:t>
      </w:r>
    </w:p>
    <w:p w:rsidR="008D583A" w:rsidRPr="00C75D4A" w:rsidRDefault="008D583A" w:rsidP="00FF6A55">
      <w:pPr>
        <w:pStyle w:val="Prrafodelista"/>
        <w:autoSpaceDE w:val="0"/>
        <w:autoSpaceDN w:val="0"/>
        <w:adjustRightInd w:val="0"/>
        <w:jc w:val="both"/>
        <w:rPr>
          <w:rFonts w:ascii="Trebuchet MS" w:hAnsi="Trebuchet MS"/>
          <w:i/>
        </w:rPr>
      </w:pPr>
    </w:p>
    <w:p w:rsidR="008D583A" w:rsidRPr="00C75D4A" w:rsidRDefault="008D583A" w:rsidP="00FF6A55">
      <w:pPr>
        <w:pStyle w:val="Prrafodelista"/>
        <w:autoSpaceDE w:val="0"/>
        <w:autoSpaceDN w:val="0"/>
        <w:adjustRightInd w:val="0"/>
        <w:jc w:val="both"/>
        <w:rPr>
          <w:rFonts w:ascii="Trebuchet MS" w:hAnsi="Trebuchet MS"/>
          <w:i/>
        </w:rPr>
      </w:pPr>
      <w:r w:rsidRPr="00C75D4A">
        <w:rPr>
          <w:rFonts w:ascii="Trebuchet MS" w:hAnsi="Trebuchet MS"/>
          <w:i/>
        </w:rPr>
        <w:t>II. Supervisar el cumplimiento del Estatuto y de la normativa que rige al Servicio en el OPLE;</w:t>
      </w:r>
    </w:p>
    <w:p w:rsidR="008D583A" w:rsidRPr="00C75D4A" w:rsidRDefault="008D583A" w:rsidP="00FF6A55">
      <w:pPr>
        <w:pStyle w:val="Prrafodelista"/>
        <w:autoSpaceDE w:val="0"/>
        <w:autoSpaceDN w:val="0"/>
        <w:adjustRightInd w:val="0"/>
        <w:jc w:val="both"/>
        <w:rPr>
          <w:rFonts w:ascii="Trebuchet MS" w:hAnsi="Trebuchet MS"/>
          <w:i/>
        </w:rPr>
      </w:pPr>
    </w:p>
    <w:p w:rsidR="008D583A" w:rsidRPr="00C75D4A" w:rsidRDefault="008D583A" w:rsidP="00FF6A55">
      <w:pPr>
        <w:pStyle w:val="Prrafodelista"/>
        <w:autoSpaceDE w:val="0"/>
        <w:autoSpaceDN w:val="0"/>
        <w:adjustRightInd w:val="0"/>
        <w:jc w:val="both"/>
        <w:rPr>
          <w:rFonts w:ascii="Trebuchet MS" w:hAnsi="Trebuchet MS"/>
          <w:i/>
        </w:rPr>
      </w:pPr>
      <w:r w:rsidRPr="00C75D4A">
        <w:rPr>
          <w:rFonts w:ascii="Trebuchet MS" w:hAnsi="Trebuchet MS"/>
          <w:i/>
        </w:rPr>
        <w:t xml:space="preserve">III. Mantener actualizada la información de las y los miembros del Servicio del OPLE; </w:t>
      </w:r>
    </w:p>
    <w:p w:rsidR="008D583A" w:rsidRPr="00C75D4A" w:rsidRDefault="008D583A" w:rsidP="00FF6A55">
      <w:pPr>
        <w:pStyle w:val="Prrafodelista"/>
        <w:autoSpaceDE w:val="0"/>
        <w:autoSpaceDN w:val="0"/>
        <w:adjustRightInd w:val="0"/>
        <w:jc w:val="both"/>
        <w:rPr>
          <w:rFonts w:ascii="Trebuchet MS" w:hAnsi="Trebuchet MS"/>
          <w:i/>
        </w:rPr>
      </w:pPr>
    </w:p>
    <w:p w:rsidR="008D583A" w:rsidRPr="00C75D4A" w:rsidRDefault="008D583A" w:rsidP="00FF6A55">
      <w:pPr>
        <w:pStyle w:val="Prrafodelista"/>
        <w:autoSpaceDE w:val="0"/>
        <w:autoSpaceDN w:val="0"/>
        <w:adjustRightInd w:val="0"/>
        <w:jc w:val="both"/>
        <w:rPr>
          <w:rFonts w:ascii="Trebuchet MS" w:hAnsi="Trebuchet MS"/>
          <w:i/>
        </w:rPr>
      </w:pPr>
      <w:r w:rsidRPr="00C75D4A">
        <w:rPr>
          <w:rFonts w:ascii="Trebuchet MS" w:hAnsi="Trebuchet MS"/>
          <w:i/>
        </w:rPr>
        <w:t>IV. Proporcionar a la DESPEN la información, documentación y los apoyos necesarios que le permitan cumplir con sus atribuciones de coordinación, organización y desarrollo del Servicio;</w:t>
      </w:r>
    </w:p>
    <w:p w:rsidR="008D583A" w:rsidRPr="00C75D4A" w:rsidRDefault="008D583A" w:rsidP="00FF6A55">
      <w:pPr>
        <w:pStyle w:val="Prrafodelista"/>
        <w:autoSpaceDE w:val="0"/>
        <w:autoSpaceDN w:val="0"/>
        <w:adjustRightInd w:val="0"/>
        <w:jc w:val="both"/>
        <w:rPr>
          <w:rFonts w:ascii="Trebuchet MS" w:hAnsi="Trebuchet MS"/>
          <w:i/>
        </w:rPr>
      </w:pPr>
    </w:p>
    <w:p w:rsidR="008D583A" w:rsidRPr="00C75D4A" w:rsidRDefault="008D583A" w:rsidP="00FF6A55">
      <w:pPr>
        <w:pStyle w:val="Prrafodelista"/>
        <w:autoSpaceDE w:val="0"/>
        <w:autoSpaceDN w:val="0"/>
        <w:adjustRightInd w:val="0"/>
        <w:jc w:val="both"/>
        <w:rPr>
          <w:rFonts w:ascii="Trebuchet MS" w:hAnsi="Trebuchet MS"/>
          <w:i/>
        </w:rPr>
      </w:pPr>
      <w:r w:rsidRPr="00C75D4A">
        <w:rPr>
          <w:rFonts w:ascii="Trebuchet MS" w:hAnsi="Trebuchet MS"/>
          <w:i/>
        </w:rPr>
        <w:t xml:space="preserve">V. Apoyar en la instrumentación de los mecanismos de selección, ingreso, profesionalización, capacitación, promoción, evaluación, rotación interna, titularidad, permanencia y disciplina, así como de los sistemas de cambios de adscripción y ascensos de acuerdo con la normativa y disposiciones que determine el Instituto y el OPLE, según corresponda; </w:t>
      </w:r>
    </w:p>
    <w:p w:rsidR="008D583A" w:rsidRPr="00C75D4A" w:rsidRDefault="008D583A" w:rsidP="00FF6A55">
      <w:pPr>
        <w:pStyle w:val="Prrafodelista"/>
        <w:autoSpaceDE w:val="0"/>
        <w:autoSpaceDN w:val="0"/>
        <w:adjustRightInd w:val="0"/>
        <w:jc w:val="both"/>
        <w:rPr>
          <w:rFonts w:ascii="Trebuchet MS" w:hAnsi="Trebuchet MS"/>
          <w:i/>
        </w:rPr>
      </w:pPr>
    </w:p>
    <w:p w:rsidR="008D583A" w:rsidRPr="00C75D4A" w:rsidRDefault="008D583A" w:rsidP="00FF6A55">
      <w:pPr>
        <w:pStyle w:val="Prrafodelista"/>
        <w:autoSpaceDE w:val="0"/>
        <w:autoSpaceDN w:val="0"/>
        <w:adjustRightInd w:val="0"/>
        <w:jc w:val="both"/>
        <w:rPr>
          <w:rFonts w:ascii="Trebuchet MS" w:hAnsi="Trebuchet MS"/>
          <w:i/>
        </w:rPr>
      </w:pPr>
      <w:r w:rsidRPr="00C75D4A">
        <w:rPr>
          <w:rFonts w:ascii="Trebuchet MS" w:hAnsi="Trebuchet MS"/>
          <w:i/>
        </w:rPr>
        <w:t xml:space="preserve">VI. Realizar las notificaciones que le solicite la DESPEN; </w:t>
      </w:r>
    </w:p>
    <w:p w:rsidR="008D583A" w:rsidRPr="00C75D4A" w:rsidRDefault="008D583A" w:rsidP="00FF6A55">
      <w:pPr>
        <w:pStyle w:val="Prrafodelista"/>
        <w:autoSpaceDE w:val="0"/>
        <w:autoSpaceDN w:val="0"/>
        <w:adjustRightInd w:val="0"/>
        <w:jc w:val="both"/>
        <w:rPr>
          <w:rFonts w:ascii="Trebuchet MS" w:hAnsi="Trebuchet MS"/>
          <w:i/>
        </w:rPr>
      </w:pPr>
    </w:p>
    <w:p w:rsidR="008D583A" w:rsidRPr="00C75D4A" w:rsidRDefault="008D583A" w:rsidP="00FF6A55">
      <w:pPr>
        <w:pStyle w:val="Prrafodelista"/>
        <w:autoSpaceDE w:val="0"/>
        <w:autoSpaceDN w:val="0"/>
        <w:adjustRightInd w:val="0"/>
        <w:jc w:val="both"/>
        <w:rPr>
          <w:rFonts w:ascii="Trebuchet MS" w:hAnsi="Trebuchet MS"/>
          <w:i/>
        </w:rPr>
      </w:pPr>
      <w:r w:rsidRPr="00C75D4A">
        <w:rPr>
          <w:rFonts w:ascii="Trebuchet MS" w:hAnsi="Trebuchet MS"/>
          <w:i/>
        </w:rPr>
        <w:t xml:space="preserve">VII. Proponer a la comisión de seguimiento al Servicio la incorporación de cargos o puestos en función de las necesidades de cada OPLE; </w:t>
      </w:r>
    </w:p>
    <w:p w:rsidR="008D583A" w:rsidRPr="00C75D4A" w:rsidRDefault="008D583A" w:rsidP="00FF6A55">
      <w:pPr>
        <w:pStyle w:val="Prrafodelista"/>
        <w:autoSpaceDE w:val="0"/>
        <w:autoSpaceDN w:val="0"/>
        <w:adjustRightInd w:val="0"/>
        <w:jc w:val="both"/>
        <w:rPr>
          <w:rFonts w:ascii="Trebuchet MS" w:hAnsi="Trebuchet MS"/>
          <w:i/>
        </w:rPr>
      </w:pPr>
    </w:p>
    <w:p w:rsidR="008D583A" w:rsidRPr="00C75D4A" w:rsidRDefault="008D583A" w:rsidP="00FF6A55">
      <w:pPr>
        <w:pStyle w:val="Prrafodelista"/>
        <w:autoSpaceDE w:val="0"/>
        <w:autoSpaceDN w:val="0"/>
        <w:adjustRightInd w:val="0"/>
        <w:jc w:val="both"/>
        <w:rPr>
          <w:rFonts w:ascii="Trebuchet MS" w:hAnsi="Trebuchet MS"/>
          <w:i/>
        </w:rPr>
      </w:pPr>
      <w:r w:rsidRPr="00C75D4A">
        <w:rPr>
          <w:rFonts w:ascii="Trebuchet MS" w:hAnsi="Trebuchet MS"/>
          <w:i/>
        </w:rPr>
        <w:t>VIII. Su titular fungirá como secretario técnico de la comisión de seguimiento del servicio, y</w:t>
      </w:r>
    </w:p>
    <w:p w:rsidR="008D583A" w:rsidRPr="00C75D4A" w:rsidRDefault="008D583A" w:rsidP="00FF6A55">
      <w:pPr>
        <w:pStyle w:val="Prrafodelista"/>
        <w:autoSpaceDE w:val="0"/>
        <w:autoSpaceDN w:val="0"/>
        <w:adjustRightInd w:val="0"/>
        <w:jc w:val="both"/>
        <w:rPr>
          <w:rFonts w:ascii="Trebuchet MS" w:hAnsi="Trebuchet MS"/>
          <w:i/>
        </w:rPr>
      </w:pPr>
    </w:p>
    <w:p w:rsidR="008D583A" w:rsidRPr="00C75D4A" w:rsidRDefault="008D583A" w:rsidP="00FF6A55">
      <w:pPr>
        <w:pStyle w:val="Prrafodelista"/>
        <w:autoSpaceDE w:val="0"/>
        <w:autoSpaceDN w:val="0"/>
        <w:adjustRightInd w:val="0"/>
        <w:jc w:val="both"/>
        <w:rPr>
          <w:rFonts w:ascii="Trebuchet MS" w:hAnsi="Trebuchet MS" w:cs="Arial"/>
          <w:bCs/>
          <w:i/>
        </w:rPr>
      </w:pPr>
      <w:r w:rsidRPr="00C75D4A">
        <w:rPr>
          <w:rFonts w:ascii="Trebuchet MS" w:hAnsi="Trebuchet MS"/>
          <w:i/>
        </w:rPr>
        <w:t>IX. Las demás que determinen el Estatuto y su normativa secundaria.</w:t>
      </w:r>
      <w:r w:rsidR="00FF6A55" w:rsidRPr="00C75D4A">
        <w:rPr>
          <w:rFonts w:ascii="Trebuchet MS" w:hAnsi="Trebuchet MS"/>
          <w:i/>
        </w:rPr>
        <w:t>”</w:t>
      </w:r>
    </w:p>
    <w:p w:rsidR="008D583A" w:rsidRPr="008D583A" w:rsidRDefault="008D583A" w:rsidP="008D583A">
      <w:pPr>
        <w:pStyle w:val="Prrafodelista"/>
        <w:autoSpaceDE w:val="0"/>
        <w:autoSpaceDN w:val="0"/>
        <w:adjustRightInd w:val="0"/>
        <w:ind w:left="1428"/>
        <w:jc w:val="both"/>
        <w:rPr>
          <w:rFonts w:ascii="Trebuchet MS" w:hAnsi="Trebuchet MS" w:cs="Arial"/>
          <w:bCs/>
        </w:rPr>
      </w:pPr>
    </w:p>
    <w:p w:rsidR="005114A8" w:rsidRPr="00950283" w:rsidRDefault="000C1B5A" w:rsidP="00EB1879">
      <w:pPr>
        <w:pStyle w:val="Prrafodelista"/>
        <w:suppressAutoHyphens/>
        <w:ind w:left="0"/>
        <w:jc w:val="both"/>
        <w:rPr>
          <w:rFonts w:ascii="Trebuchet MS" w:hAnsi="Trebuchet MS"/>
          <w:kern w:val="2"/>
          <w:sz w:val="24"/>
          <w:szCs w:val="24"/>
          <w:lang w:val="es-ES_tradnl" w:eastAsia="ar-SA"/>
        </w:rPr>
      </w:pPr>
      <w:r w:rsidRPr="00950283">
        <w:rPr>
          <w:rFonts w:ascii="Trebuchet MS" w:hAnsi="Trebuchet MS"/>
          <w:b/>
          <w:kern w:val="18"/>
          <w:sz w:val="24"/>
          <w:szCs w:val="24"/>
        </w:rPr>
        <w:t>V. DE LA DESIGNACIÓN DE</w:t>
      </w:r>
      <w:r w:rsidR="00EB1879" w:rsidRPr="00950283">
        <w:rPr>
          <w:rFonts w:ascii="Trebuchet MS" w:hAnsi="Trebuchet MS"/>
          <w:b/>
          <w:kern w:val="18"/>
          <w:sz w:val="24"/>
          <w:szCs w:val="24"/>
        </w:rPr>
        <w:t>L</w:t>
      </w:r>
      <w:r w:rsidR="00EB1879" w:rsidRPr="00950283">
        <w:rPr>
          <w:rFonts w:ascii="Trebuchet MS" w:hAnsi="Trebuchet MS" w:cs="Arial"/>
          <w:b/>
          <w:sz w:val="24"/>
          <w:szCs w:val="24"/>
        </w:rPr>
        <w:t xml:space="preserve"> ÓRGANO QUE SERVIRÁ DE ENLACE Y ESTARÁ A CARGO DE LA ATENCIÓN DE LOS ASUNTOS DEL SER</w:t>
      </w:r>
      <w:r w:rsidR="00EB1879" w:rsidRPr="00950283">
        <w:rPr>
          <w:rFonts w:ascii="Trebuchet MS" w:hAnsi="Trebuchet MS" w:cs="Arial"/>
          <w:b/>
          <w:sz w:val="24"/>
          <w:szCs w:val="24"/>
          <w:lang w:val="es-MX"/>
        </w:rPr>
        <w:t>VICIO</w:t>
      </w:r>
      <w:r w:rsidR="00EB1879" w:rsidRPr="00950283">
        <w:rPr>
          <w:rFonts w:ascii="Trebuchet MS" w:hAnsi="Trebuchet MS" w:cs="Arial"/>
          <w:b/>
          <w:sz w:val="24"/>
          <w:szCs w:val="24"/>
        </w:rPr>
        <w:t xml:space="preserve"> PROFESIONAL ELECTORAL NACIONAL</w:t>
      </w:r>
      <w:r w:rsidR="00EB1879" w:rsidRPr="00950283">
        <w:rPr>
          <w:rFonts w:ascii="Trebuchet MS" w:hAnsi="Trebuchet MS" w:cs="Arial"/>
          <w:b/>
          <w:kern w:val="1"/>
          <w:sz w:val="24"/>
          <w:szCs w:val="24"/>
          <w:lang w:val="es-ES_tradnl" w:eastAsia="ar-SA"/>
        </w:rPr>
        <w:t>.</w:t>
      </w:r>
      <w:r w:rsidRPr="00950283">
        <w:rPr>
          <w:rFonts w:ascii="Trebuchet MS" w:hAnsi="Trebuchet MS"/>
          <w:sz w:val="24"/>
          <w:szCs w:val="24"/>
          <w:lang w:eastAsia="ar-SA"/>
        </w:rPr>
        <w:t xml:space="preserve"> </w:t>
      </w:r>
      <w:r w:rsidRPr="00950283">
        <w:rPr>
          <w:rFonts w:ascii="Trebuchet MS" w:hAnsi="Trebuchet MS"/>
          <w:sz w:val="24"/>
          <w:szCs w:val="24"/>
        </w:rPr>
        <w:t>Que t</w:t>
      </w:r>
      <w:r w:rsidR="00DB7061" w:rsidRPr="00950283">
        <w:rPr>
          <w:rFonts w:ascii="Trebuchet MS" w:hAnsi="Trebuchet MS"/>
          <w:sz w:val="24"/>
          <w:szCs w:val="24"/>
        </w:rPr>
        <w:t xml:space="preserve">al como se estableció en los antecedentes 1 y 2 de este acuerdo, el </w:t>
      </w:r>
      <w:r w:rsidR="00EB1879" w:rsidRPr="00950283">
        <w:rPr>
          <w:rFonts w:ascii="Trebuchet MS" w:hAnsi="Trebuchet MS"/>
          <w:sz w:val="24"/>
          <w:szCs w:val="24"/>
        </w:rPr>
        <w:t>treinta de junio del año dos mil dieciséis</w:t>
      </w:r>
      <w:r w:rsidR="00DB7061" w:rsidRPr="00950283">
        <w:rPr>
          <w:rFonts w:ascii="Trebuchet MS" w:hAnsi="Trebuchet MS"/>
          <w:sz w:val="24"/>
          <w:szCs w:val="24"/>
        </w:rPr>
        <w:t xml:space="preserve">, </w:t>
      </w:r>
      <w:r w:rsidR="00DB7061" w:rsidRPr="00950283">
        <w:rPr>
          <w:rFonts w:ascii="Trebuchet MS" w:hAnsi="Trebuchet MS"/>
          <w:kern w:val="2"/>
          <w:sz w:val="24"/>
          <w:szCs w:val="24"/>
          <w:lang w:val="es-ES_tradnl" w:eastAsia="ar-SA"/>
        </w:rPr>
        <w:t>mediante acuerdo IEPC-ACG-0</w:t>
      </w:r>
      <w:r w:rsidR="00EB1879" w:rsidRPr="00950283">
        <w:rPr>
          <w:rFonts w:ascii="Trebuchet MS" w:hAnsi="Trebuchet MS"/>
          <w:kern w:val="2"/>
          <w:sz w:val="24"/>
          <w:szCs w:val="24"/>
          <w:lang w:val="es-ES_tradnl" w:eastAsia="ar-SA"/>
        </w:rPr>
        <w:t>3</w:t>
      </w:r>
      <w:r w:rsidR="00DB7061" w:rsidRPr="00950283">
        <w:rPr>
          <w:rFonts w:ascii="Trebuchet MS" w:hAnsi="Trebuchet MS"/>
          <w:kern w:val="2"/>
          <w:sz w:val="24"/>
          <w:szCs w:val="24"/>
          <w:lang w:val="es-ES_tradnl" w:eastAsia="ar-SA"/>
        </w:rPr>
        <w:t>1/201</w:t>
      </w:r>
      <w:r w:rsidR="00EB1879" w:rsidRPr="00950283">
        <w:rPr>
          <w:rFonts w:ascii="Trebuchet MS" w:hAnsi="Trebuchet MS"/>
          <w:kern w:val="2"/>
          <w:sz w:val="24"/>
          <w:szCs w:val="24"/>
          <w:lang w:val="es-ES_tradnl" w:eastAsia="ar-SA"/>
        </w:rPr>
        <w:t>6</w:t>
      </w:r>
      <w:r w:rsidR="005114A8" w:rsidRPr="00950283">
        <w:rPr>
          <w:rFonts w:ascii="Trebuchet MS" w:hAnsi="Trebuchet MS"/>
          <w:kern w:val="2"/>
          <w:sz w:val="24"/>
          <w:szCs w:val="24"/>
          <w:lang w:val="es-ES_tradnl" w:eastAsia="ar-SA"/>
        </w:rPr>
        <w:t>, el Consejo General, entre otras cosas, determinó que la Dirección de Administración y Finanzas de este Instituto, fuera el enlace con el Instituto Nacional Electoral, a cargo de la atención de los asuntos del servicio profesional de este organismo electoral.</w:t>
      </w:r>
    </w:p>
    <w:p w:rsidR="005114A8" w:rsidRPr="00950283" w:rsidRDefault="005114A8" w:rsidP="00EB1879">
      <w:pPr>
        <w:pStyle w:val="Prrafodelista"/>
        <w:suppressAutoHyphens/>
        <w:ind w:left="0"/>
        <w:jc w:val="both"/>
        <w:rPr>
          <w:rFonts w:ascii="Trebuchet MS" w:hAnsi="Trebuchet MS"/>
          <w:kern w:val="2"/>
          <w:sz w:val="24"/>
          <w:szCs w:val="24"/>
          <w:lang w:val="es-ES_tradnl" w:eastAsia="ar-SA"/>
        </w:rPr>
      </w:pPr>
    </w:p>
    <w:p w:rsidR="005114A8" w:rsidRDefault="005114A8" w:rsidP="005114A8">
      <w:pPr>
        <w:tabs>
          <w:tab w:val="left" w:pos="1177"/>
        </w:tabs>
        <w:spacing w:after="0" w:line="240" w:lineRule="auto"/>
        <w:jc w:val="both"/>
        <w:rPr>
          <w:rFonts w:ascii="Trebuchet MS" w:hAnsi="Trebuchet MS"/>
          <w:sz w:val="24"/>
          <w:szCs w:val="24"/>
          <w:lang w:eastAsia="es-ES"/>
        </w:rPr>
      </w:pPr>
      <w:r w:rsidRPr="00950283">
        <w:rPr>
          <w:rFonts w:ascii="Trebuchet MS" w:hAnsi="Trebuchet MS"/>
          <w:kern w:val="2"/>
          <w:sz w:val="24"/>
          <w:szCs w:val="24"/>
          <w:lang w:val="es-ES_tradnl" w:eastAsia="ar-SA"/>
        </w:rPr>
        <w:t xml:space="preserve">Ahora bien, el ocho de enero del año en curso, </w:t>
      </w:r>
      <w:r w:rsidRPr="00950283">
        <w:rPr>
          <w:rFonts w:ascii="Trebuchet MS" w:hAnsi="Trebuchet MS"/>
          <w:bCs/>
          <w:sz w:val="24"/>
          <w:szCs w:val="24"/>
          <w:lang w:val="es-ES"/>
        </w:rPr>
        <w:t xml:space="preserve">mediante acuerdo IEPC-ACG-001/2022, el Consejo General de este Instituto aprobó </w:t>
      </w:r>
      <w:r w:rsidRPr="00950283">
        <w:rPr>
          <w:rFonts w:ascii="Trebuchet MS" w:hAnsi="Trebuchet MS"/>
          <w:sz w:val="24"/>
          <w:szCs w:val="24"/>
          <w:lang w:eastAsia="es-ES"/>
        </w:rPr>
        <w:t>el presupuesto de egresos de este organismo electoral para el ejercicio fiscal del año dos mil veintidós; cabe destacar que en dicho acuerdo se realizó una reestructura en cuanto a las ár</w:t>
      </w:r>
      <w:r w:rsidR="00E31EE3" w:rsidRPr="00950283">
        <w:rPr>
          <w:rFonts w:ascii="Trebuchet MS" w:hAnsi="Trebuchet MS"/>
          <w:sz w:val="24"/>
          <w:szCs w:val="24"/>
          <w:lang w:eastAsia="es-ES"/>
        </w:rPr>
        <w:t>eas del Instituto, por lo que desapareció la</w:t>
      </w:r>
      <w:r w:rsidRPr="00950283">
        <w:rPr>
          <w:rFonts w:ascii="Trebuchet MS" w:hAnsi="Trebuchet MS"/>
          <w:sz w:val="24"/>
          <w:szCs w:val="24"/>
          <w:lang w:eastAsia="es-ES"/>
        </w:rPr>
        <w:t xml:space="preserve"> Dirección de Administración y Finanzas </w:t>
      </w:r>
      <w:r w:rsidR="00E31EE3" w:rsidRPr="00950283">
        <w:rPr>
          <w:rFonts w:ascii="Trebuchet MS" w:hAnsi="Trebuchet MS"/>
          <w:sz w:val="24"/>
          <w:szCs w:val="24"/>
          <w:lang w:eastAsia="es-ES"/>
        </w:rPr>
        <w:t>y se creó</w:t>
      </w:r>
      <w:r w:rsidRPr="00950283">
        <w:rPr>
          <w:rFonts w:ascii="Trebuchet MS" w:hAnsi="Trebuchet MS"/>
          <w:sz w:val="24"/>
          <w:szCs w:val="24"/>
          <w:lang w:eastAsia="es-ES"/>
        </w:rPr>
        <w:t xml:space="preserve"> la Dirección Ejecutiva de Administración e Innovación.</w:t>
      </w:r>
    </w:p>
    <w:p w:rsidR="00C25554" w:rsidRDefault="00C25554" w:rsidP="005114A8">
      <w:pPr>
        <w:tabs>
          <w:tab w:val="left" w:pos="1177"/>
        </w:tabs>
        <w:spacing w:after="0" w:line="240" w:lineRule="auto"/>
        <w:jc w:val="both"/>
        <w:rPr>
          <w:rFonts w:ascii="Trebuchet MS" w:hAnsi="Trebuchet MS"/>
          <w:sz w:val="24"/>
          <w:szCs w:val="24"/>
          <w:lang w:eastAsia="es-ES"/>
        </w:rPr>
      </w:pPr>
    </w:p>
    <w:p w:rsidR="00764422" w:rsidRPr="009B74A6" w:rsidRDefault="00764422" w:rsidP="00764422">
      <w:pPr>
        <w:pStyle w:val="Style2"/>
        <w:widowControl/>
        <w:tabs>
          <w:tab w:val="left" w:pos="12191"/>
        </w:tabs>
        <w:spacing w:line="240" w:lineRule="auto"/>
        <w:rPr>
          <w:rStyle w:val="FontStyle14"/>
          <w:rFonts w:ascii="Trebuchet MS" w:hAnsi="Trebuchet MS"/>
          <w:b w:val="0"/>
          <w:sz w:val="24"/>
          <w:szCs w:val="24"/>
          <w:lang w:eastAsia="es-ES_tradnl"/>
        </w:rPr>
      </w:pPr>
      <w:r w:rsidRPr="009B74A6">
        <w:rPr>
          <w:rStyle w:val="FontStyle14"/>
          <w:rFonts w:ascii="Trebuchet MS" w:hAnsi="Trebuchet MS"/>
          <w:b w:val="0"/>
          <w:sz w:val="24"/>
          <w:szCs w:val="24"/>
          <w:lang w:eastAsia="es-ES_tradnl"/>
        </w:rPr>
        <w:t>Como fue enunciado en el apartado de antecedes de este acuerdo, el veinticuatro de enero de presente anualidad, la persona que ocupaba provisionalmente la titularidad de dicha dirección terminó la relación laboral que tenía con esta institución y el veinticinco posterior, mediante el acuerdo identificado con la clave IEPC-ACG-005/2022 el Consejo General designó al nuevo titular de esa dirección ejecutiva.</w:t>
      </w:r>
    </w:p>
    <w:p w:rsidR="00764422" w:rsidRPr="009B74A6" w:rsidRDefault="00764422" w:rsidP="005114A8">
      <w:pPr>
        <w:tabs>
          <w:tab w:val="left" w:pos="1177"/>
        </w:tabs>
        <w:spacing w:after="0" w:line="240" w:lineRule="auto"/>
        <w:jc w:val="both"/>
        <w:rPr>
          <w:rFonts w:ascii="Trebuchet MS" w:hAnsi="Trebuchet MS"/>
          <w:sz w:val="24"/>
          <w:szCs w:val="24"/>
          <w:lang w:eastAsia="es-ES"/>
        </w:rPr>
      </w:pPr>
    </w:p>
    <w:p w:rsidR="00137E36" w:rsidRPr="009B74A6" w:rsidRDefault="005114A8" w:rsidP="005114A8">
      <w:pPr>
        <w:tabs>
          <w:tab w:val="left" w:pos="1177"/>
        </w:tabs>
        <w:spacing w:after="0" w:line="240" w:lineRule="auto"/>
        <w:jc w:val="both"/>
        <w:rPr>
          <w:rFonts w:ascii="Trebuchet MS" w:hAnsi="Trebuchet MS"/>
          <w:sz w:val="24"/>
          <w:szCs w:val="24"/>
          <w:lang w:eastAsia="es-ES"/>
        </w:rPr>
      </w:pPr>
      <w:r w:rsidRPr="009B74A6">
        <w:rPr>
          <w:rFonts w:ascii="Trebuchet MS" w:hAnsi="Trebuchet MS"/>
          <w:sz w:val="24"/>
          <w:szCs w:val="24"/>
          <w:lang w:eastAsia="es-ES"/>
        </w:rPr>
        <w:t>En atención a lo anterior,</w:t>
      </w:r>
      <w:r w:rsidR="00863EF4" w:rsidRPr="009B74A6">
        <w:rPr>
          <w:rFonts w:ascii="Trebuchet MS" w:hAnsi="Trebuchet MS"/>
          <w:sz w:val="24"/>
          <w:szCs w:val="24"/>
          <w:lang w:eastAsia="es-ES"/>
        </w:rPr>
        <w:t xml:space="preserve"> y de conformidad a la facultad concedida a este Consejo General en la fracción VII, del artículo 376 del Estatuto,</w:t>
      </w:r>
      <w:r w:rsidRPr="009B74A6">
        <w:rPr>
          <w:rFonts w:ascii="Trebuchet MS" w:hAnsi="Trebuchet MS"/>
          <w:sz w:val="24"/>
          <w:szCs w:val="24"/>
          <w:lang w:eastAsia="es-ES"/>
        </w:rPr>
        <w:t xml:space="preserve"> resulta oportuno designar a la Dirección Ejecutiva de Administración e Innovación</w:t>
      </w:r>
      <w:r w:rsidR="00EA38C3" w:rsidRPr="009B74A6">
        <w:rPr>
          <w:rFonts w:ascii="Trebuchet MS" w:hAnsi="Trebuchet MS"/>
          <w:sz w:val="24"/>
          <w:szCs w:val="24"/>
          <w:lang w:eastAsia="es-ES"/>
        </w:rPr>
        <w:t>, a través de su titular,</w:t>
      </w:r>
      <w:r w:rsidRPr="009B74A6">
        <w:rPr>
          <w:rFonts w:ascii="Trebuchet MS" w:hAnsi="Trebuchet MS"/>
          <w:sz w:val="24"/>
          <w:szCs w:val="24"/>
          <w:lang w:eastAsia="es-ES"/>
        </w:rPr>
        <w:t xml:space="preserve"> como el órgano de enlace para la atención de los asuntos del servicio profesional electoral; </w:t>
      </w:r>
      <w:r w:rsidR="00784106" w:rsidRPr="009B74A6">
        <w:rPr>
          <w:rFonts w:ascii="Trebuchet MS" w:eastAsia="Times New Roman" w:hAnsi="Trebuchet MS"/>
          <w:bCs/>
          <w:kern w:val="18"/>
          <w:sz w:val="24"/>
          <w:szCs w:val="24"/>
          <w:lang w:val="es-ES_tradnl" w:eastAsia="es-ES"/>
        </w:rPr>
        <w:t xml:space="preserve">consecuentemente, se somete a la consideración de este consejo general para su </w:t>
      </w:r>
      <w:r w:rsidR="00137E36" w:rsidRPr="009B74A6">
        <w:rPr>
          <w:rFonts w:ascii="Trebuchet MS" w:eastAsia="Times New Roman" w:hAnsi="Trebuchet MS"/>
          <w:bCs/>
          <w:kern w:val="18"/>
          <w:sz w:val="24"/>
          <w:szCs w:val="24"/>
          <w:lang w:val="es-ES_tradnl" w:eastAsia="es-ES"/>
        </w:rPr>
        <w:t>análisis, discusión y en su caso aprobación, la propuesta referida.</w:t>
      </w:r>
    </w:p>
    <w:p w:rsidR="00216229" w:rsidRPr="009B74A6" w:rsidRDefault="00216229" w:rsidP="00D92691">
      <w:pPr>
        <w:autoSpaceDE w:val="0"/>
        <w:autoSpaceDN w:val="0"/>
        <w:adjustRightInd w:val="0"/>
        <w:spacing w:after="0" w:line="240" w:lineRule="auto"/>
        <w:jc w:val="both"/>
        <w:rPr>
          <w:rFonts w:ascii="Trebuchet MS" w:hAnsi="Trebuchet MS"/>
          <w:sz w:val="24"/>
          <w:szCs w:val="24"/>
          <w:lang w:eastAsia="ar-SA"/>
        </w:rPr>
      </w:pPr>
    </w:p>
    <w:p w:rsidR="00950283" w:rsidRPr="00950283" w:rsidRDefault="00950283" w:rsidP="00216229">
      <w:pPr>
        <w:spacing w:after="0" w:line="240" w:lineRule="auto"/>
        <w:jc w:val="both"/>
        <w:rPr>
          <w:rFonts w:ascii="Trebuchet MS" w:eastAsia="Times New Roman" w:hAnsi="Trebuchet MS"/>
          <w:kern w:val="18"/>
          <w:sz w:val="24"/>
          <w:szCs w:val="24"/>
          <w:lang w:eastAsia="es-ES"/>
        </w:rPr>
      </w:pPr>
      <w:r w:rsidRPr="009B74A6">
        <w:rPr>
          <w:rFonts w:ascii="Trebuchet MS" w:eastAsia="Times New Roman" w:hAnsi="Trebuchet MS"/>
          <w:kern w:val="18"/>
          <w:sz w:val="24"/>
          <w:szCs w:val="24"/>
          <w:lang w:eastAsia="es-ES"/>
        </w:rPr>
        <w:t xml:space="preserve">Cabe resaltar que una vez que se realicen las adecuaciones reglamentarias </w:t>
      </w:r>
      <w:r w:rsidR="00863EF4" w:rsidRPr="009B74A6">
        <w:rPr>
          <w:rFonts w:ascii="Trebuchet MS" w:eastAsia="Times New Roman" w:hAnsi="Trebuchet MS"/>
          <w:kern w:val="18"/>
          <w:sz w:val="24"/>
          <w:szCs w:val="24"/>
          <w:lang w:eastAsia="es-ES"/>
        </w:rPr>
        <w:t>ordenadas en el acuerdo IEPC-ACG-001/2022</w:t>
      </w:r>
      <w:r w:rsidRPr="009B74A6">
        <w:rPr>
          <w:rFonts w:ascii="Trebuchet MS" w:eastAsia="Times New Roman" w:hAnsi="Trebuchet MS"/>
          <w:kern w:val="18"/>
          <w:sz w:val="24"/>
          <w:szCs w:val="24"/>
          <w:lang w:eastAsia="es-ES"/>
        </w:rPr>
        <w:t xml:space="preserve">, se contará con la disposición precisa de las actividades correspondientes al mencionado enlace </w:t>
      </w:r>
      <w:r w:rsidRPr="009B74A6">
        <w:rPr>
          <w:rFonts w:ascii="Trebuchet MS" w:hAnsi="Trebuchet MS"/>
          <w:sz w:val="24"/>
          <w:szCs w:val="24"/>
          <w:lang w:eastAsia="es-ES"/>
        </w:rPr>
        <w:t>para la atención de los asuntos del servicio profesional electoral.</w:t>
      </w:r>
    </w:p>
    <w:p w:rsidR="00950283" w:rsidRPr="00950283" w:rsidRDefault="00950283" w:rsidP="00216229">
      <w:pPr>
        <w:spacing w:after="0" w:line="240" w:lineRule="auto"/>
        <w:jc w:val="both"/>
        <w:rPr>
          <w:rFonts w:ascii="Trebuchet MS" w:eastAsia="Times New Roman" w:hAnsi="Trebuchet MS"/>
          <w:kern w:val="18"/>
          <w:sz w:val="24"/>
          <w:szCs w:val="24"/>
          <w:lang w:eastAsia="es-ES"/>
        </w:rPr>
      </w:pPr>
    </w:p>
    <w:p w:rsidR="00216229" w:rsidRPr="00950283" w:rsidRDefault="00216229" w:rsidP="00216229">
      <w:pPr>
        <w:spacing w:after="0" w:line="240" w:lineRule="auto"/>
        <w:jc w:val="both"/>
        <w:rPr>
          <w:rFonts w:ascii="Trebuchet MS" w:eastAsia="Times New Roman" w:hAnsi="Trebuchet MS"/>
          <w:kern w:val="18"/>
          <w:sz w:val="24"/>
          <w:szCs w:val="24"/>
          <w:lang w:val="es-ES" w:eastAsia="es-ES"/>
        </w:rPr>
      </w:pPr>
      <w:r w:rsidRPr="00950283">
        <w:rPr>
          <w:rFonts w:ascii="Trebuchet MS" w:eastAsia="Times New Roman" w:hAnsi="Trebuchet MS"/>
          <w:kern w:val="18"/>
          <w:sz w:val="24"/>
          <w:szCs w:val="24"/>
          <w:lang w:eastAsia="es-ES"/>
        </w:rPr>
        <w:t xml:space="preserve">Por lo antes expuesto, </w:t>
      </w:r>
      <w:r w:rsidRPr="00950283">
        <w:rPr>
          <w:rFonts w:ascii="Trebuchet MS" w:eastAsia="Times New Roman" w:hAnsi="Trebuchet MS"/>
          <w:kern w:val="18"/>
          <w:sz w:val="24"/>
          <w:szCs w:val="24"/>
          <w:lang w:val="es-ES" w:eastAsia="es-ES"/>
        </w:rPr>
        <w:t>se proponen los siguientes puntos de</w:t>
      </w:r>
    </w:p>
    <w:p w:rsidR="00216229" w:rsidRPr="00950283" w:rsidRDefault="00216229" w:rsidP="00D92691">
      <w:pPr>
        <w:autoSpaceDE w:val="0"/>
        <w:autoSpaceDN w:val="0"/>
        <w:adjustRightInd w:val="0"/>
        <w:spacing w:after="0" w:line="240" w:lineRule="auto"/>
        <w:jc w:val="both"/>
        <w:rPr>
          <w:rFonts w:ascii="Trebuchet MS" w:hAnsi="Trebuchet MS"/>
          <w:sz w:val="24"/>
          <w:szCs w:val="24"/>
          <w:lang w:eastAsia="ar-SA"/>
        </w:rPr>
      </w:pPr>
    </w:p>
    <w:p w:rsidR="00E322CE" w:rsidRDefault="00E322CE" w:rsidP="00D92691">
      <w:pPr>
        <w:spacing w:after="0" w:line="240" w:lineRule="auto"/>
        <w:jc w:val="center"/>
        <w:rPr>
          <w:rFonts w:ascii="Trebuchet MS" w:hAnsi="Trebuchet MS" w:cs="Arial"/>
          <w:b/>
          <w:sz w:val="24"/>
          <w:szCs w:val="24"/>
          <w:lang w:val="pt-BR"/>
        </w:rPr>
      </w:pPr>
    </w:p>
    <w:p w:rsidR="00E322CE" w:rsidRDefault="00E322CE" w:rsidP="00D92691">
      <w:pPr>
        <w:spacing w:after="0" w:line="240" w:lineRule="auto"/>
        <w:jc w:val="center"/>
        <w:rPr>
          <w:rFonts w:ascii="Trebuchet MS" w:hAnsi="Trebuchet MS" w:cs="Arial"/>
          <w:b/>
          <w:sz w:val="24"/>
          <w:szCs w:val="24"/>
          <w:lang w:val="pt-BR"/>
        </w:rPr>
      </w:pPr>
    </w:p>
    <w:p w:rsidR="00E322CE" w:rsidRDefault="00E322CE" w:rsidP="00D92691">
      <w:pPr>
        <w:spacing w:after="0" w:line="240" w:lineRule="auto"/>
        <w:jc w:val="center"/>
        <w:rPr>
          <w:rFonts w:ascii="Trebuchet MS" w:hAnsi="Trebuchet MS" w:cs="Arial"/>
          <w:b/>
          <w:sz w:val="24"/>
          <w:szCs w:val="24"/>
          <w:lang w:val="pt-BR"/>
        </w:rPr>
      </w:pPr>
    </w:p>
    <w:p w:rsidR="005C0A5E" w:rsidRPr="00950283" w:rsidRDefault="005C0A5E" w:rsidP="00D92691">
      <w:pPr>
        <w:spacing w:after="0" w:line="240" w:lineRule="auto"/>
        <w:jc w:val="center"/>
        <w:rPr>
          <w:rFonts w:ascii="Trebuchet MS" w:hAnsi="Trebuchet MS" w:cs="Arial"/>
          <w:b/>
          <w:sz w:val="24"/>
          <w:szCs w:val="24"/>
          <w:lang w:val="pt-BR"/>
        </w:rPr>
      </w:pPr>
      <w:bookmarkStart w:id="0" w:name="_GoBack"/>
      <w:bookmarkEnd w:id="0"/>
      <w:r w:rsidRPr="00950283">
        <w:rPr>
          <w:rFonts w:ascii="Trebuchet MS" w:hAnsi="Trebuchet MS" w:cs="Arial"/>
          <w:b/>
          <w:sz w:val="24"/>
          <w:szCs w:val="24"/>
          <w:lang w:val="pt-BR"/>
        </w:rPr>
        <w:t>A C U E R D O</w:t>
      </w:r>
    </w:p>
    <w:p w:rsidR="005C0A5E" w:rsidRPr="00950283" w:rsidRDefault="005C0A5E" w:rsidP="00D92691">
      <w:pPr>
        <w:spacing w:after="0" w:line="240" w:lineRule="auto"/>
        <w:jc w:val="center"/>
        <w:rPr>
          <w:rFonts w:ascii="Trebuchet MS" w:hAnsi="Trebuchet MS" w:cs="Arial"/>
          <w:b/>
          <w:sz w:val="24"/>
          <w:szCs w:val="24"/>
          <w:lang w:val="pt-BR"/>
        </w:rPr>
      </w:pPr>
    </w:p>
    <w:p w:rsidR="00F94535" w:rsidRPr="00950283" w:rsidRDefault="005C0A5E" w:rsidP="00F94535">
      <w:pPr>
        <w:autoSpaceDE w:val="0"/>
        <w:autoSpaceDN w:val="0"/>
        <w:adjustRightInd w:val="0"/>
        <w:spacing w:after="0" w:line="240" w:lineRule="auto"/>
        <w:jc w:val="both"/>
        <w:rPr>
          <w:rFonts w:ascii="Trebuchet MS" w:hAnsi="Trebuchet MS" w:cs="Arial"/>
          <w:sz w:val="24"/>
          <w:szCs w:val="24"/>
        </w:rPr>
      </w:pPr>
      <w:r w:rsidRPr="009B74A6">
        <w:rPr>
          <w:rFonts w:ascii="Trebuchet MS" w:hAnsi="Trebuchet MS" w:cs="Arial"/>
          <w:b/>
          <w:sz w:val="24"/>
          <w:szCs w:val="24"/>
          <w:lang w:val="pt-BR"/>
        </w:rPr>
        <w:t>PRIMERO.</w:t>
      </w:r>
      <w:r w:rsidRPr="009B74A6">
        <w:rPr>
          <w:rFonts w:ascii="Trebuchet MS" w:hAnsi="Trebuchet MS" w:cs="Arial"/>
          <w:sz w:val="24"/>
          <w:szCs w:val="24"/>
          <w:lang w:val="pt-BR"/>
        </w:rPr>
        <w:t xml:space="preserve"> </w:t>
      </w:r>
      <w:r w:rsidRPr="009B74A6">
        <w:rPr>
          <w:rFonts w:ascii="Trebuchet MS" w:hAnsi="Trebuchet MS" w:cs="Arial"/>
          <w:sz w:val="24"/>
          <w:szCs w:val="24"/>
        </w:rPr>
        <w:t xml:space="preserve">Se </w:t>
      </w:r>
      <w:r w:rsidR="001567D6" w:rsidRPr="009B74A6">
        <w:rPr>
          <w:rFonts w:ascii="Trebuchet MS" w:hAnsi="Trebuchet MS" w:cs="Arial"/>
          <w:sz w:val="24"/>
          <w:szCs w:val="24"/>
        </w:rPr>
        <w:t xml:space="preserve">designa </w:t>
      </w:r>
      <w:r w:rsidR="005114A8" w:rsidRPr="009B74A6">
        <w:rPr>
          <w:rFonts w:ascii="Trebuchet MS" w:hAnsi="Trebuchet MS"/>
          <w:sz w:val="24"/>
          <w:szCs w:val="24"/>
          <w:lang w:eastAsia="es-ES"/>
        </w:rPr>
        <w:t>a la Dirección Ejecutiva de Administración e Innovación,</w:t>
      </w:r>
      <w:r w:rsidR="00F35B11" w:rsidRPr="009B74A6">
        <w:rPr>
          <w:rFonts w:ascii="Trebuchet MS" w:hAnsi="Trebuchet MS"/>
          <w:sz w:val="24"/>
          <w:szCs w:val="24"/>
          <w:lang w:eastAsia="es-ES"/>
        </w:rPr>
        <w:t xml:space="preserve"> a través de su titular,</w:t>
      </w:r>
      <w:r w:rsidR="005114A8" w:rsidRPr="009B74A6">
        <w:rPr>
          <w:rFonts w:ascii="Trebuchet MS" w:hAnsi="Trebuchet MS"/>
          <w:sz w:val="24"/>
          <w:szCs w:val="24"/>
          <w:lang w:eastAsia="es-ES"/>
        </w:rPr>
        <w:t xml:space="preserve"> como el órgano</w:t>
      </w:r>
      <w:r w:rsidR="005114A8" w:rsidRPr="00950283">
        <w:rPr>
          <w:rFonts w:ascii="Trebuchet MS" w:hAnsi="Trebuchet MS"/>
          <w:sz w:val="24"/>
          <w:szCs w:val="24"/>
          <w:lang w:eastAsia="es-ES"/>
        </w:rPr>
        <w:t xml:space="preserve"> </w:t>
      </w:r>
      <w:r w:rsidR="005114A8" w:rsidRPr="00950283">
        <w:rPr>
          <w:rFonts w:ascii="Trebuchet MS" w:hAnsi="Trebuchet MS" w:cs="Arial"/>
          <w:sz w:val="24"/>
          <w:szCs w:val="24"/>
        </w:rPr>
        <w:t>que servirá de enlace y estará a cargo de la atención de los asuntos del Servicio Profesional Electoral Nacional</w:t>
      </w:r>
      <w:r w:rsidR="001567D6" w:rsidRPr="00950283">
        <w:rPr>
          <w:rFonts w:ascii="Trebuchet MS" w:hAnsi="Trebuchet MS" w:cs="Arial"/>
          <w:sz w:val="24"/>
          <w:szCs w:val="24"/>
        </w:rPr>
        <w:t xml:space="preserve">, </w:t>
      </w:r>
      <w:r w:rsidRPr="00950283">
        <w:rPr>
          <w:rFonts w:ascii="Trebuchet MS" w:hAnsi="Trebuchet MS" w:cs="Arial"/>
          <w:sz w:val="24"/>
          <w:szCs w:val="24"/>
        </w:rPr>
        <w:t xml:space="preserve">en términos del considerando </w:t>
      </w:r>
      <w:r w:rsidR="001567D6" w:rsidRPr="00950283">
        <w:rPr>
          <w:rFonts w:ascii="Trebuchet MS" w:hAnsi="Trebuchet MS" w:cs="Arial"/>
          <w:sz w:val="24"/>
          <w:szCs w:val="24"/>
        </w:rPr>
        <w:t>V</w:t>
      </w:r>
      <w:r w:rsidRPr="00950283">
        <w:rPr>
          <w:rFonts w:ascii="Trebuchet MS" w:hAnsi="Trebuchet MS" w:cs="Arial"/>
          <w:sz w:val="24"/>
          <w:szCs w:val="24"/>
        </w:rPr>
        <w:t xml:space="preserve"> del presente acuerdo.</w:t>
      </w:r>
    </w:p>
    <w:p w:rsidR="00F94535" w:rsidRPr="00950283" w:rsidRDefault="00F94535" w:rsidP="00F94535">
      <w:pPr>
        <w:autoSpaceDE w:val="0"/>
        <w:autoSpaceDN w:val="0"/>
        <w:adjustRightInd w:val="0"/>
        <w:spacing w:after="0" w:line="240" w:lineRule="auto"/>
        <w:jc w:val="both"/>
        <w:rPr>
          <w:rFonts w:ascii="Trebuchet MS" w:hAnsi="Trebuchet MS" w:cs="Trebuchet MS"/>
          <w:b/>
          <w:bCs/>
          <w:sz w:val="24"/>
          <w:szCs w:val="24"/>
        </w:rPr>
      </w:pPr>
    </w:p>
    <w:p w:rsidR="00F94535" w:rsidRPr="00950283" w:rsidRDefault="00F94535" w:rsidP="00F94535">
      <w:pPr>
        <w:spacing w:after="0" w:line="240" w:lineRule="auto"/>
        <w:jc w:val="both"/>
        <w:rPr>
          <w:rFonts w:ascii="Trebuchet MS" w:hAnsi="Trebuchet MS"/>
          <w:sz w:val="24"/>
          <w:szCs w:val="24"/>
        </w:rPr>
      </w:pPr>
      <w:r w:rsidRPr="00950283">
        <w:rPr>
          <w:rFonts w:ascii="Trebuchet MS" w:hAnsi="Trebuchet MS" w:cs="Trebuchet MS"/>
          <w:b/>
          <w:bCs/>
          <w:sz w:val="24"/>
          <w:szCs w:val="24"/>
        </w:rPr>
        <w:t xml:space="preserve">SEGUNDO. </w:t>
      </w:r>
      <w:r w:rsidRPr="00950283">
        <w:rPr>
          <w:rFonts w:ascii="Trebuchet MS" w:hAnsi="Trebuchet MS"/>
          <w:sz w:val="24"/>
          <w:szCs w:val="24"/>
        </w:rPr>
        <w:t xml:space="preserve">Hágase del conocimiento del Instituto Nacional Electoral el presente acuerdo, a través </w:t>
      </w:r>
      <w:r w:rsidRPr="00950283">
        <w:rPr>
          <w:rFonts w:ascii="Trebuchet MS" w:eastAsia="Trebuchet MS" w:hAnsi="Trebuchet MS" w:cs="Trebuchet MS"/>
          <w:sz w:val="24"/>
          <w:szCs w:val="24"/>
        </w:rPr>
        <w:t>del Sistema de Vinculación con los Organismos Públicos Locales Electorales</w:t>
      </w:r>
      <w:r w:rsidRPr="00950283">
        <w:rPr>
          <w:rFonts w:ascii="Trebuchet MS" w:hAnsi="Trebuchet MS"/>
          <w:sz w:val="24"/>
          <w:szCs w:val="24"/>
        </w:rPr>
        <w:t>, para los efectos correspondientes.</w:t>
      </w:r>
    </w:p>
    <w:p w:rsidR="00F94535" w:rsidRPr="00950283" w:rsidRDefault="00F94535" w:rsidP="00F94535">
      <w:pPr>
        <w:spacing w:after="0" w:line="240" w:lineRule="auto"/>
        <w:jc w:val="both"/>
        <w:rPr>
          <w:rFonts w:ascii="Trebuchet MS" w:hAnsi="Trebuchet MS" w:cs="Trebuchet MS"/>
          <w:b/>
          <w:bCs/>
          <w:sz w:val="24"/>
          <w:szCs w:val="24"/>
        </w:rPr>
      </w:pPr>
    </w:p>
    <w:p w:rsidR="00F94535" w:rsidRPr="00950283" w:rsidRDefault="00F94535" w:rsidP="00F94535">
      <w:pPr>
        <w:autoSpaceDE w:val="0"/>
        <w:autoSpaceDN w:val="0"/>
        <w:adjustRightInd w:val="0"/>
        <w:spacing w:after="0" w:line="240" w:lineRule="auto"/>
        <w:jc w:val="both"/>
        <w:rPr>
          <w:rFonts w:ascii="Trebuchet MS" w:hAnsi="Trebuchet MS" w:cs="Trebuchet MS"/>
          <w:sz w:val="24"/>
          <w:szCs w:val="24"/>
        </w:rPr>
      </w:pPr>
      <w:r w:rsidRPr="00950283">
        <w:rPr>
          <w:rFonts w:ascii="Trebuchet MS" w:hAnsi="Trebuchet MS" w:cs="Trebuchet MS"/>
          <w:b/>
          <w:bCs/>
          <w:sz w:val="24"/>
          <w:szCs w:val="24"/>
        </w:rPr>
        <w:t>TERCERO.</w:t>
      </w:r>
      <w:r w:rsidRPr="00950283">
        <w:rPr>
          <w:rFonts w:ascii="Trebuchet MS" w:hAnsi="Trebuchet MS" w:cs="Trebuchet MS"/>
          <w:sz w:val="24"/>
          <w:szCs w:val="24"/>
        </w:rPr>
        <w:t xml:space="preserve"> Notifíquese el contenido de este acuerdo a los partidos políticos acreditados, mediante el correo electrónico registrado ante este Instituto y publíquese en el Periódico Oficial “El Estado de Jalisco”, así como en la página oficial de internet de este Instituto.</w:t>
      </w:r>
    </w:p>
    <w:p w:rsidR="00F94535" w:rsidRPr="00950283" w:rsidRDefault="00F94535" w:rsidP="00F94535">
      <w:pPr>
        <w:autoSpaceDE w:val="0"/>
        <w:autoSpaceDN w:val="0"/>
        <w:adjustRightInd w:val="0"/>
        <w:spacing w:after="0" w:line="240" w:lineRule="auto"/>
        <w:jc w:val="both"/>
        <w:rPr>
          <w:rFonts w:ascii="Trebuchet MS" w:hAnsi="Trebuchet MS" w:cs="Arial"/>
          <w:b/>
          <w:sz w:val="24"/>
          <w:szCs w:val="24"/>
        </w:rPr>
      </w:pPr>
    </w:p>
    <w:p w:rsidR="00F94535" w:rsidRPr="00950283" w:rsidRDefault="00F94535" w:rsidP="00F94535">
      <w:pPr>
        <w:pStyle w:val="Sinespaciado"/>
        <w:jc w:val="center"/>
        <w:rPr>
          <w:rFonts w:ascii="Trebuchet MS" w:hAnsi="Trebuchet MS"/>
          <w:kern w:val="18"/>
          <w:sz w:val="24"/>
          <w:szCs w:val="24"/>
        </w:rPr>
      </w:pPr>
      <w:r w:rsidRPr="00950283">
        <w:rPr>
          <w:rFonts w:ascii="Trebuchet MS" w:hAnsi="Trebuchet MS"/>
          <w:kern w:val="18"/>
          <w:sz w:val="24"/>
          <w:szCs w:val="24"/>
        </w:rPr>
        <w:t xml:space="preserve">Guadalajara, Jalisco; a </w:t>
      </w:r>
      <w:r w:rsidR="001368C9" w:rsidRPr="00950283">
        <w:rPr>
          <w:rFonts w:ascii="Trebuchet MS" w:hAnsi="Trebuchet MS"/>
          <w:kern w:val="18"/>
          <w:sz w:val="24"/>
          <w:szCs w:val="24"/>
        </w:rPr>
        <w:t>31</w:t>
      </w:r>
      <w:r w:rsidRPr="00950283">
        <w:rPr>
          <w:rFonts w:ascii="Trebuchet MS" w:hAnsi="Trebuchet MS"/>
          <w:kern w:val="18"/>
          <w:sz w:val="24"/>
          <w:szCs w:val="24"/>
        </w:rPr>
        <w:t xml:space="preserve"> de enero de 2022.</w:t>
      </w:r>
    </w:p>
    <w:p w:rsidR="00893D99" w:rsidRPr="00950283" w:rsidRDefault="00893D99" w:rsidP="00F94535">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94535" w:rsidRPr="00950283" w:rsidTr="00D76ACC">
        <w:tc>
          <w:tcPr>
            <w:tcW w:w="10433" w:type="dxa"/>
            <w:shd w:val="clear" w:color="auto" w:fill="auto"/>
          </w:tcPr>
          <w:p w:rsidR="00F94535" w:rsidRPr="00950283" w:rsidRDefault="00F94535" w:rsidP="00F94535">
            <w:pPr>
              <w:spacing w:line="240" w:lineRule="auto"/>
              <w:rPr>
                <w:sz w:val="24"/>
                <w:szCs w:val="24"/>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94535" w:rsidRPr="00950283" w:rsidTr="00D76ACC">
              <w:tc>
                <w:tcPr>
                  <w:tcW w:w="5070" w:type="dxa"/>
                  <w:shd w:val="clear" w:color="auto" w:fill="auto"/>
                </w:tcPr>
                <w:p w:rsidR="00F94535" w:rsidRPr="00950283" w:rsidRDefault="00F94535" w:rsidP="00F94535">
                  <w:pPr>
                    <w:pStyle w:val="Sinespaciado"/>
                    <w:jc w:val="center"/>
                    <w:rPr>
                      <w:rFonts w:ascii="Trebuchet MS" w:hAnsi="Trebuchet MS"/>
                      <w:kern w:val="18"/>
                      <w:sz w:val="24"/>
                      <w:szCs w:val="24"/>
                      <w:lang w:eastAsia="es-ES"/>
                    </w:rPr>
                  </w:pPr>
                </w:p>
                <w:p w:rsidR="00F94535" w:rsidRPr="00950283" w:rsidRDefault="00F94535" w:rsidP="00F94535">
                  <w:pPr>
                    <w:pStyle w:val="Sinespaciado"/>
                    <w:jc w:val="center"/>
                    <w:rPr>
                      <w:rFonts w:ascii="Trebuchet MS" w:hAnsi="Trebuchet MS"/>
                      <w:kern w:val="18"/>
                      <w:sz w:val="24"/>
                      <w:szCs w:val="24"/>
                      <w:lang w:eastAsia="es-ES"/>
                    </w:rPr>
                  </w:pPr>
                  <w:r w:rsidRPr="00950283">
                    <w:rPr>
                      <w:rFonts w:ascii="Trebuchet MS" w:eastAsia="Trebuchet MS" w:hAnsi="Trebuchet MS" w:cs="Trebuchet MS"/>
                      <w:color w:val="000000"/>
                      <w:sz w:val="24"/>
                      <w:szCs w:val="24"/>
                    </w:rPr>
                    <w:t>Paula Ramírez Höhne</w:t>
                  </w:r>
                  <w:r w:rsidRPr="00950283">
                    <w:rPr>
                      <w:rFonts w:ascii="Trebuchet MS" w:hAnsi="Trebuchet MS"/>
                      <w:kern w:val="18"/>
                      <w:sz w:val="24"/>
                      <w:szCs w:val="24"/>
                      <w:lang w:eastAsia="es-ES"/>
                    </w:rPr>
                    <w:t xml:space="preserve"> </w:t>
                  </w:r>
                </w:p>
                <w:p w:rsidR="00F94535" w:rsidRPr="00950283" w:rsidRDefault="00F94535" w:rsidP="00F94535">
                  <w:pPr>
                    <w:pStyle w:val="Sinespaciado"/>
                    <w:jc w:val="center"/>
                    <w:rPr>
                      <w:rFonts w:ascii="Trebuchet MS" w:hAnsi="Trebuchet MS"/>
                      <w:kern w:val="18"/>
                      <w:sz w:val="24"/>
                      <w:szCs w:val="24"/>
                      <w:lang w:eastAsia="es-ES"/>
                    </w:rPr>
                  </w:pPr>
                  <w:r w:rsidRPr="00950283">
                    <w:rPr>
                      <w:rFonts w:ascii="Trebuchet MS" w:hAnsi="Trebuchet MS"/>
                      <w:kern w:val="18"/>
                      <w:sz w:val="24"/>
                      <w:szCs w:val="24"/>
                      <w:lang w:eastAsia="es-ES"/>
                    </w:rPr>
                    <w:t>Consejera presidenta</w:t>
                  </w:r>
                </w:p>
              </w:tc>
              <w:tc>
                <w:tcPr>
                  <w:tcW w:w="5137" w:type="dxa"/>
                  <w:shd w:val="clear" w:color="auto" w:fill="auto"/>
                </w:tcPr>
                <w:p w:rsidR="00F94535" w:rsidRPr="00950283" w:rsidRDefault="00F94535" w:rsidP="00F94535">
                  <w:pPr>
                    <w:pStyle w:val="Sinespaciado"/>
                    <w:jc w:val="center"/>
                    <w:rPr>
                      <w:rFonts w:ascii="Trebuchet MS" w:hAnsi="Trebuchet MS"/>
                      <w:kern w:val="18"/>
                      <w:sz w:val="24"/>
                      <w:szCs w:val="24"/>
                      <w:lang w:eastAsia="es-ES"/>
                    </w:rPr>
                  </w:pPr>
                </w:p>
                <w:p w:rsidR="00F94535" w:rsidRPr="00950283" w:rsidRDefault="00F94535" w:rsidP="00F94535">
                  <w:pPr>
                    <w:pStyle w:val="Sinespaciado"/>
                    <w:jc w:val="center"/>
                    <w:rPr>
                      <w:rFonts w:ascii="Trebuchet MS" w:eastAsia="Times New Roman" w:hAnsi="Trebuchet MS"/>
                      <w:kern w:val="18"/>
                      <w:sz w:val="24"/>
                      <w:szCs w:val="24"/>
                    </w:rPr>
                  </w:pPr>
                  <w:r w:rsidRPr="00950283">
                    <w:rPr>
                      <w:rFonts w:ascii="Trebuchet MS" w:eastAsia="Times New Roman" w:hAnsi="Trebuchet MS"/>
                      <w:kern w:val="18"/>
                      <w:sz w:val="24"/>
                      <w:szCs w:val="24"/>
                    </w:rPr>
                    <w:t>Manuel Alejandro Murillo Gutiérrez</w:t>
                  </w:r>
                </w:p>
                <w:p w:rsidR="00F94535" w:rsidRPr="00950283" w:rsidRDefault="00F94535" w:rsidP="00F94535">
                  <w:pPr>
                    <w:pStyle w:val="Sinespaciado"/>
                    <w:jc w:val="center"/>
                    <w:rPr>
                      <w:rFonts w:ascii="Trebuchet MS" w:hAnsi="Trebuchet MS"/>
                      <w:kern w:val="18"/>
                      <w:sz w:val="24"/>
                      <w:szCs w:val="24"/>
                      <w:lang w:eastAsia="es-ES"/>
                    </w:rPr>
                  </w:pPr>
                  <w:r w:rsidRPr="00950283">
                    <w:rPr>
                      <w:rFonts w:ascii="Trebuchet MS" w:eastAsia="Times New Roman" w:hAnsi="Trebuchet MS"/>
                      <w:kern w:val="18"/>
                      <w:sz w:val="24"/>
                      <w:szCs w:val="24"/>
                    </w:rPr>
                    <w:t>Secretario ejecutivo</w:t>
                  </w:r>
                </w:p>
              </w:tc>
            </w:tr>
          </w:tbl>
          <w:p w:rsidR="00F94535" w:rsidRPr="00950283" w:rsidRDefault="00F94535" w:rsidP="00F94535">
            <w:pPr>
              <w:pStyle w:val="Sinespaciado"/>
              <w:jc w:val="center"/>
              <w:rPr>
                <w:rFonts w:ascii="Trebuchet MS" w:hAnsi="Trebuchet MS"/>
                <w:kern w:val="18"/>
                <w:sz w:val="24"/>
                <w:szCs w:val="24"/>
                <w:lang w:eastAsia="es-ES"/>
              </w:rPr>
            </w:pPr>
          </w:p>
        </w:tc>
        <w:tc>
          <w:tcPr>
            <w:tcW w:w="222" w:type="dxa"/>
            <w:shd w:val="clear" w:color="auto" w:fill="auto"/>
          </w:tcPr>
          <w:p w:rsidR="00F94535" w:rsidRPr="00950283" w:rsidRDefault="00F94535" w:rsidP="00F94535">
            <w:pPr>
              <w:pStyle w:val="Sinespaciado"/>
              <w:jc w:val="center"/>
              <w:rPr>
                <w:rFonts w:ascii="Trebuchet MS" w:hAnsi="Trebuchet MS"/>
                <w:kern w:val="18"/>
                <w:sz w:val="24"/>
                <w:szCs w:val="24"/>
                <w:lang w:eastAsia="es-ES"/>
              </w:rPr>
            </w:pPr>
          </w:p>
        </w:tc>
      </w:tr>
    </w:tbl>
    <w:p w:rsidR="00F94535" w:rsidRDefault="00F94535" w:rsidP="00F94535">
      <w:pPr>
        <w:shd w:val="clear" w:color="auto" w:fill="FFFFFF"/>
        <w:spacing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94535" w:rsidRPr="00654E4F" w:rsidTr="00D76ACC">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4535" w:rsidRPr="00654E4F" w:rsidRDefault="00F94535" w:rsidP="00F94535">
            <w:pPr>
              <w:spacing w:after="0" w:line="240" w:lineRule="auto"/>
              <w:jc w:val="center"/>
              <w:rPr>
                <w:rFonts w:ascii="Trebuchet MS" w:hAnsi="Trebuchet MS"/>
                <w:sz w:val="16"/>
                <w:szCs w:val="16"/>
              </w:rPr>
            </w:pPr>
            <w:r>
              <w:rPr>
                <w:rFonts w:ascii="Trebuchet MS" w:hAnsi="Trebuchet MS"/>
                <w:sz w:val="16"/>
                <w:szCs w:val="16"/>
              </w:rPr>
              <w:t>CMT</w:t>
            </w:r>
          </w:p>
          <w:p w:rsidR="00F94535" w:rsidRPr="00654E4F" w:rsidRDefault="00F94535" w:rsidP="00F94535">
            <w:pPr>
              <w:spacing w:after="0" w:line="240" w:lineRule="auto"/>
              <w:jc w:val="center"/>
              <w:rPr>
                <w:rFonts w:ascii="Trebuchet MS" w:hAnsi="Trebuchet MS"/>
                <w:sz w:val="16"/>
                <w:szCs w:val="16"/>
              </w:rPr>
            </w:pPr>
            <w:r w:rsidRPr="00654E4F">
              <w:rPr>
                <w:rFonts w:ascii="Trebuchet MS" w:hAnsi="Trebuchet MS"/>
                <w:sz w:val="16"/>
                <w:szCs w:val="16"/>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4535" w:rsidRPr="00654E4F" w:rsidRDefault="00F94535" w:rsidP="00F94535">
            <w:pPr>
              <w:spacing w:after="0" w:line="240" w:lineRule="auto"/>
              <w:jc w:val="center"/>
              <w:rPr>
                <w:rFonts w:ascii="Trebuchet MS" w:hAnsi="Trebuchet MS"/>
                <w:sz w:val="16"/>
                <w:szCs w:val="16"/>
              </w:rPr>
            </w:pPr>
            <w:r>
              <w:rPr>
                <w:rFonts w:ascii="Trebuchet MS" w:hAnsi="Trebuchet MS"/>
                <w:sz w:val="16"/>
                <w:szCs w:val="16"/>
              </w:rPr>
              <w:t>TETC</w:t>
            </w:r>
          </w:p>
          <w:p w:rsidR="00F94535" w:rsidRPr="00654E4F" w:rsidRDefault="00F94535" w:rsidP="00F94535">
            <w:pPr>
              <w:spacing w:after="0" w:line="240" w:lineRule="auto"/>
              <w:jc w:val="center"/>
              <w:rPr>
                <w:rFonts w:ascii="Trebuchet MS" w:hAnsi="Trebuchet MS"/>
                <w:sz w:val="16"/>
                <w:szCs w:val="16"/>
              </w:rPr>
            </w:pPr>
            <w:r w:rsidRPr="00654E4F">
              <w:rPr>
                <w:rFonts w:ascii="Trebuchet MS" w:hAnsi="Trebuchet MS"/>
                <w:sz w:val="16"/>
                <w:szCs w:val="16"/>
              </w:rPr>
              <w:t>Elaboró</w:t>
            </w:r>
          </w:p>
        </w:tc>
      </w:tr>
    </w:tbl>
    <w:p w:rsidR="005C0A5E" w:rsidRDefault="005C0A5E" w:rsidP="00F94535">
      <w:pPr>
        <w:autoSpaceDE w:val="0"/>
        <w:autoSpaceDN w:val="0"/>
        <w:adjustRightInd w:val="0"/>
        <w:spacing w:after="0" w:line="240" w:lineRule="auto"/>
        <w:jc w:val="both"/>
        <w:rPr>
          <w:rFonts w:ascii="Trebuchet MS" w:hAnsi="Trebuchet MS" w:cs="Arial"/>
          <w:b/>
          <w:sz w:val="24"/>
          <w:szCs w:val="24"/>
        </w:rPr>
      </w:pPr>
    </w:p>
    <w:p w:rsidR="007375C0" w:rsidRDefault="007375C0" w:rsidP="00677858">
      <w:pPr>
        <w:pStyle w:val="Sinespaciado"/>
        <w:jc w:val="both"/>
        <w:rPr>
          <w:rFonts w:ascii="Trebuchet MS" w:hAnsi="Trebuchet MS"/>
          <w:sz w:val="16"/>
          <w:szCs w:val="16"/>
        </w:rPr>
      </w:pPr>
    </w:p>
    <w:p w:rsidR="00677858" w:rsidRPr="007D470E" w:rsidRDefault="00677858" w:rsidP="00677858">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 xml:space="preserve">treinta y uno de enero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677858" w:rsidRDefault="00677858" w:rsidP="00677858">
      <w:pPr>
        <w:pStyle w:val="Textoindependiente"/>
        <w:jc w:val="center"/>
        <w:rPr>
          <w:rFonts w:ascii="Trebuchet MS" w:hAnsi="Trebuchet MS"/>
          <w:sz w:val="16"/>
          <w:szCs w:val="16"/>
        </w:rPr>
      </w:pPr>
    </w:p>
    <w:p w:rsidR="00EB22A7" w:rsidRDefault="00EB22A7" w:rsidP="00677858">
      <w:pPr>
        <w:pStyle w:val="Textoindependiente"/>
        <w:jc w:val="center"/>
        <w:rPr>
          <w:rFonts w:ascii="Trebuchet MS" w:hAnsi="Trebuchet MS"/>
          <w:sz w:val="16"/>
          <w:szCs w:val="16"/>
        </w:rPr>
      </w:pPr>
    </w:p>
    <w:p w:rsidR="00EB22A7" w:rsidRDefault="00EB22A7" w:rsidP="00677858">
      <w:pPr>
        <w:pStyle w:val="Textoindependiente"/>
        <w:jc w:val="center"/>
        <w:rPr>
          <w:rFonts w:ascii="Trebuchet MS" w:hAnsi="Trebuchet MS"/>
          <w:sz w:val="16"/>
          <w:szCs w:val="16"/>
        </w:rPr>
      </w:pPr>
    </w:p>
    <w:p w:rsidR="00677858" w:rsidRPr="007D470E" w:rsidRDefault="00677858" w:rsidP="00677858">
      <w:pPr>
        <w:pStyle w:val="Textoindependiente"/>
        <w:jc w:val="center"/>
        <w:rPr>
          <w:rFonts w:ascii="Trebuchet MS" w:hAnsi="Trebuchet MS"/>
          <w:b w:val="0"/>
          <w:sz w:val="16"/>
          <w:szCs w:val="16"/>
        </w:rPr>
      </w:pPr>
      <w:r w:rsidRPr="007D470E">
        <w:rPr>
          <w:rFonts w:ascii="Trebuchet MS" w:hAnsi="Trebuchet MS"/>
          <w:sz w:val="16"/>
          <w:szCs w:val="16"/>
        </w:rPr>
        <w:t>Manuel Alejandro Murillo Gutiérrez</w:t>
      </w:r>
    </w:p>
    <w:p w:rsidR="00677858" w:rsidRPr="007D470E" w:rsidRDefault="00677858" w:rsidP="00677858">
      <w:pPr>
        <w:pStyle w:val="Textoindependiente"/>
        <w:jc w:val="center"/>
        <w:rPr>
          <w:rFonts w:ascii="Trebuchet MS" w:hAnsi="Trebuchet MS"/>
          <w:b w:val="0"/>
          <w:sz w:val="16"/>
          <w:szCs w:val="16"/>
        </w:rPr>
      </w:pPr>
      <w:r w:rsidRPr="007D470E">
        <w:rPr>
          <w:rFonts w:ascii="Trebuchet MS" w:hAnsi="Trebuchet MS"/>
          <w:sz w:val="16"/>
          <w:szCs w:val="16"/>
        </w:rPr>
        <w:t>Secretario ejecutivo</w:t>
      </w:r>
    </w:p>
    <w:p w:rsidR="001368C9" w:rsidRPr="00D92691" w:rsidRDefault="001368C9" w:rsidP="00F94535">
      <w:pPr>
        <w:autoSpaceDE w:val="0"/>
        <w:autoSpaceDN w:val="0"/>
        <w:adjustRightInd w:val="0"/>
        <w:spacing w:after="0" w:line="240" w:lineRule="auto"/>
        <w:jc w:val="both"/>
        <w:rPr>
          <w:rFonts w:ascii="Trebuchet MS" w:hAnsi="Trebuchet MS" w:cs="Arial"/>
          <w:b/>
          <w:sz w:val="24"/>
          <w:szCs w:val="24"/>
        </w:rPr>
      </w:pPr>
    </w:p>
    <w:sectPr w:rsidR="001368C9" w:rsidRPr="00D92691" w:rsidSect="00D92691">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95D" w:rsidRDefault="005F195D" w:rsidP="005C0A5E">
      <w:pPr>
        <w:spacing w:after="0" w:line="240" w:lineRule="auto"/>
      </w:pPr>
      <w:r>
        <w:separator/>
      </w:r>
    </w:p>
  </w:endnote>
  <w:endnote w:type="continuationSeparator" w:id="0">
    <w:p w:rsidR="005F195D" w:rsidRDefault="005F195D" w:rsidP="005C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3828"/>
      <w:docPartObj>
        <w:docPartGallery w:val="Page Numbers (Bottom of Page)"/>
        <w:docPartUnique/>
      </w:docPartObj>
    </w:sdtPr>
    <w:sdtEndPr/>
    <w:sdtContent>
      <w:sdt>
        <w:sdtPr>
          <w:id w:val="860082579"/>
          <w:docPartObj>
            <w:docPartGallery w:val="Page Numbers (Top of Page)"/>
            <w:docPartUnique/>
          </w:docPartObj>
        </w:sdtPr>
        <w:sdtEndPr/>
        <w:sdtContent>
          <w:p w:rsidR="00AD00FB" w:rsidRDefault="0063457A">
            <w:pPr>
              <w:pStyle w:val="Piedepgina"/>
              <w:jc w:val="right"/>
            </w:pPr>
            <w:r w:rsidRPr="00AD00FB">
              <w:rPr>
                <w:rFonts w:ascii="Trebuchet MS" w:hAnsi="Trebuchet MS"/>
                <w:sz w:val="16"/>
                <w:szCs w:val="16"/>
                <w:lang w:val="es-ES"/>
              </w:rPr>
              <w:t xml:space="preserve">Página </w:t>
            </w:r>
            <w:r w:rsidR="00A71ABC" w:rsidRPr="00AD00FB">
              <w:rPr>
                <w:rFonts w:ascii="Trebuchet MS" w:hAnsi="Trebuchet MS"/>
                <w:b/>
                <w:bCs/>
                <w:sz w:val="16"/>
                <w:szCs w:val="16"/>
              </w:rPr>
              <w:fldChar w:fldCharType="begin"/>
            </w:r>
            <w:r w:rsidRPr="00AD00FB">
              <w:rPr>
                <w:rFonts w:ascii="Trebuchet MS" w:hAnsi="Trebuchet MS"/>
                <w:b/>
                <w:bCs/>
                <w:sz w:val="16"/>
                <w:szCs w:val="16"/>
              </w:rPr>
              <w:instrText>PAGE</w:instrText>
            </w:r>
            <w:r w:rsidR="00A71ABC" w:rsidRPr="00AD00FB">
              <w:rPr>
                <w:rFonts w:ascii="Trebuchet MS" w:hAnsi="Trebuchet MS"/>
                <w:b/>
                <w:bCs/>
                <w:sz w:val="16"/>
                <w:szCs w:val="16"/>
              </w:rPr>
              <w:fldChar w:fldCharType="separate"/>
            </w:r>
            <w:r w:rsidR="00E322CE">
              <w:rPr>
                <w:rFonts w:ascii="Trebuchet MS" w:hAnsi="Trebuchet MS"/>
                <w:b/>
                <w:bCs/>
                <w:noProof/>
                <w:sz w:val="16"/>
                <w:szCs w:val="16"/>
              </w:rPr>
              <w:t>5</w:t>
            </w:r>
            <w:r w:rsidR="00A71ABC" w:rsidRPr="00AD00FB">
              <w:rPr>
                <w:rFonts w:ascii="Trebuchet MS" w:hAnsi="Trebuchet MS"/>
                <w:b/>
                <w:bCs/>
                <w:sz w:val="16"/>
                <w:szCs w:val="16"/>
              </w:rPr>
              <w:fldChar w:fldCharType="end"/>
            </w:r>
            <w:r w:rsidRPr="00AD00FB">
              <w:rPr>
                <w:rFonts w:ascii="Trebuchet MS" w:hAnsi="Trebuchet MS"/>
                <w:sz w:val="16"/>
                <w:szCs w:val="16"/>
                <w:lang w:val="es-ES"/>
              </w:rPr>
              <w:t xml:space="preserve"> de </w:t>
            </w:r>
            <w:r w:rsidR="00A71ABC" w:rsidRPr="00AD00FB">
              <w:rPr>
                <w:rFonts w:ascii="Trebuchet MS" w:hAnsi="Trebuchet MS"/>
                <w:b/>
                <w:bCs/>
                <w:sz w:val="16"/>
                <w:szCs w:val="16"/>
              </w:rPr>
              <w:fldChar w:fldCharType="begin"/>
            </w:r>
            <w:r w:rsidRPr="00AD00FB">
              <w:rPr>
                <w:rFonts w:ascii="Trebuchet MS" w:hAnsi="Trebuchet MS"/>
                <w:b/>
                <w:bCs/>
                <w:sz w:val="16"/>
                <w:szCs w:val="16"/>
              </w:rPr>
              <w:instrText>NUMPAGES</w:instrText>
            </w:r>
            <w:r w:rsidR="00A71ABC" w:rsidRPr="00AD00FB">
              <w:rPr>
                <w:rFonts w:ascii="Trebuchet MS" w:hAnsi="Trebuchet MS"/>
                <w:b/>
                <w:bCs/>
                <w:sz w:val="16"/>
                <w:szCs w:val="16"/>
              </w:rPr>
              <w:fldChar w:fldCharType="separate"/>
            </w:r>
            <w:r w:rsidR="00E322CE">
              <w:rPr>
                <w:rFonts w:ascii="Trebuchet MS" w:hAnsi="Trebuchet MS"/>
                <w:b/>
                <w:bCs/>
                <w:noProof/>
                <w:sz w:val="16"/>
                <w:szCs w:val="16"/>
              </w:rPr>
              <w:t>5</w:t>
            </w:r>
            <w:r w:rsidR="00A71ABC" w:rsidRPr="00AD00FB">
              <w:rPr>
                <w:rFonts w:ascii="Trebuchet MS" w:hAnsi="Trebuchet MS"/>
                <w:b/>
                <w:bCs/>
                <w:sz w:val="16"/>
                <w:szCs w:val="16"/>
              </w:rPr>
              <w:fldChar w:fldCharType="end"/>
            </w:r>
          </w:p>
        </w:sdtContent>
      </w:sdt>
    </w:sdtContent>
  </w:sdt>
  <w:p w:rsidR="00AD00FB" w:rsidRDefault="00E322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95D" w:rsidRDefault="005F195D" w:rsidP="005C0A5E">
      <w:pPr>
        <w:spacing w:after="0" w:line="240" w:lineRule="auto"/>
      </w:pPr>
      <w:r>
        <w:separator/>
      </w:r>
    </w:p>
  </w:footnote>
  <w:footnote w:type="continuationSeparator" w:id="0">
    <w:p w:rsidR="005F195D" w:rsidRDefault="005F195D" w:rsidP="005C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72" w:rsidRDefault="00E322C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51221"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91" w:rsidRDefault="00D92691">
    <w:pPr>
      <w:pStyle w:val="Encabezado"/>
    </w:pPr>
    <w:r w:rsidRPr="0050214A">
      <w:rPr>
        <w:rFonts w:ascii="Trebuchet MS" w:hAnsi="Trebuchet MS" w:cs="Arial"/>
        <w:b/>
        <w:noProof/>
        <w:sz w:val="26"/>
        <w:szCs w:val="26"/>
        <w:lang w:eastAsia="es-MX"/>
      </w:rPr>
      <w:drawing>
        <wp:inline distT="0" distB="0" distL="0" distR="0">
          <wp:extent cx="1200150" cy="73342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E91D4E" w:rsidRPr="00E91D4E" w:rsidRDefault="00E91D4E">
    <w:pPr>
      <w:pStyle w:val="Encabezado"/>
      <w:rPr>
        <w:rFonts w:ascii="Trebuchet MS" w:hAnsi="Trebuchet MS"/>
        <w:b/>
      </w:rPr>
    </w:pPr>
    <w:r>
      <w:rPr>
        <w:rFonts w:ascii="Trebuchet MS" w:hAnsi="Trebuchet MS"/>
        <w:b/>
      </w:rPr>
      <w:tab/>
    </w:r>
    <w:r>
      <w:rPr>
        <w:rFonts w:ascii="Trebuchet MS" w:hAnsi="Trebuchet MS"/>
        <w:b/>
      </w:rPr>
      <w:tab/>
    </w:r>
    <w:r w:rsidRPr="00E91D4E">
      <w:rPr>
        <w:rFonts w:ascii="Trebuchet MS" w:hAnsi="Trebuchet MS"/>
        <w:b/>
      </w:rPr>
      <w:t>IEPC-ACG-007/2022</w:t>
    </w:r>
  </w:p>
  <w:p w:rsidR="00D92691" w:rsidRDefault="00D9269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72" w:rsidRDefault="00E322C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51220"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63462"/>
    <w:multiLevelType w:val="hybridMultilevel"/>
    <w:tmpl w:val="C2F4AE90"/>
    <w:lvl w:ilvl="0" w:tplc="080A000F">
      <w:start w:val="1"/>
      <w:numFmt w:val="decimal"/>
      <w:lvlText w:val="%1."/>
      <w:lvlJc w:val="left"/>
      <w:pPr>
        <w:ind w:left="1854" w:hanging="360"/>
      </w:pPr>
    </w:lvl>
    <w:lvl w:ilvl="1" w:tplc="080A0019">
      <w:start w:val="1"/>
      <w:numFmt w:val="lowerLetter"/>
      <w:lvlText w:val="%2."/>
      <w:lvlJc w:val="left"/>
      <w:pPr>
        <w:ind w:left="2574" w:hanging="360"/>
      </w:pPr>
    </w:lvl>
    <w:lvl w:ilvl="2" w:tplc="080A001B">
      <w:start w:val="1"/>
      <w:numFmt w:val="lowerRoman"/>
      <w:lvlText w:val="%3."/>
      <w:lvlJc w:val="right"/>
      <w:pPr>
        <w:ind w:left="3294" w:hanging="180"/>
      </w:pPr>
    </w:lvl>
    <w:lvl w:ilvl="3" w:tplc="080A000F">
      <w:start w:val="1"/>
      <w:numFmt w:val="decimal"/>
      <w:lvlText w:val="%4."/>
      <w:lvlJc w:val="left"/>
      <w:pPr>
        <w:ind w:left="4014" w:hanging="360"/>
      </w:pPr>
    </w:lvl>
    <w:lvl w:ilvl="4" w:tplc="080A0019">
      <w:start w:val="1"/>
      <w:numFmt w:val="lowerLetter"/>
      <w:lvlText w:val="%5."/>
      <w:lvlJc w:val="left"/>
      <w:pPr>
        <w:ind w:left="4734" w:hanging="360"/>
      </w:pPr>
    </w:lvl>
    <w:lvl w:ilvl="5" w:tplc="080A001B">
      <w:start w:val="1"/>
      <w:numFmt w:val="lowerRoman"/>
      <w:lvlText w:val="%6."/>
      <w:lvlJc w:val="right"/>
      <w:pPr>
        <w:ind w:left="5454" w:hanging="180"/>
      </w:pPr>
    </w:lvl>
    <w:lvl w:ilvl="6" w:tplc="080A000F">
      <w:start w:val="1"/>
      <w:numFmt w:val="decimal"/>
      <w:lvlText w:val="%7."/>
      <w:lvlJc w:val="left"/>
      <w:pPr>
        <w:ind w:left="6174" w:hanging="360"/>
      </w:pPr>
    </w:lvl>
    <w:lvl w:ilvl="7" w:tplc="080A0019">
      <w:start w:val="1"/>
      <w:numFmt w:val="lowerLetter"/>
      <w:lvlText w:val="%8."/>
      <w:lvlJc w:val="left"/>
      <w:pPr>
        <w:ind w:left="6894" w:hanging="360"/>
      </w:pPr>
    </w:lvl>
    <w:lvl w:ilvl="8" w:tplc="080A001B">
      <w:start w:val="1"/>
      <w:numFmt w:val="lowerRoman"/>
      <w:lvlText w:val="%9."/>
      <w:lvlJc w:val="right"/>
      <w:pPr>
        <w:ind w:left="7614" w:hanging="180"/>
      </w:pPr>
    </w:lvl>
  </w:abstractNum>
  <w:abstractNum w:abstractNumId="1">
    <w:nsid w:val="5AD2625B"/>
    <w:multiLevelType w:val="hybridMultilevel"/>
    <w:tmpl w:val="5CE2E05E"/>
    <w:lvl w:ilvl="0" w:tplc="30DCD71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C0A5E"/>
    <w:rsid w:val="0000181F"/>
    <w:rsid w:val="000206F8"/>
    <w:rsid w:val="0002482E"/>
    <w:rsid w:val="00065A7A"/>
    <w:rsid w:val="00077FF8"/>
    <w:rsid w:val="000A3B48"/>
    <w:rsid w:val="000C1B5A"/>
    <w:rsid w:val="000C39BB"/>
    <w:rsid w:val="000F0688"/>
    <w:rsid w:val="001106F4"/>
    <w:rsid w:val="00112090"/>
    <w:rsid w:val="001368C9"/>
    <w:rsid w:val="00137C06"/>
    <w:rsid w:val="00137E36"/>
    <w:rsid w:val="001567D6"/>
    <w:rsid w:val="001704FC"/>
    <w:rsid w:val="00190DB9"/>
    <w:rsid w:val="00196BFE"/>
    <w:rsid w:val="001E7A45"/>
    <w:rsid w:val="001F282A"/>
    <w:rsid w:val="001F5DA5"/>
    <w:rsid w:val="00213682"/>
    <w:rsid w:val="00216229"/>
    <w:rsid w:val="00226171"/>
    <w:rsid w:val="00240ACF"/>
    <w:rsid w:val="00260796"/>
    <w:rsid w:val="002722E0"/>
    <w:rsid w:val="00282962"/>
    <w:rsid w:val="002A5063"/>
    <w:rsid w:val="002E2359"/>
    <w:rsid w:val="00302B08"/>
    <w:rsid w:val="00353DC1"/>
    <w:rsid w:val="003949E4"/>
    <w:rsid w:val="003C6D4A"/>
    <w:rsid w:val="003C6DDC"/>
    <w:rsid w:val="003D65AA"/>
    <w:rsid w:val="003E1083"/>
    <w:rsid w:val="00437DB8"/>
    <w:rsid w:val="00460312"/>
    <w:rsid w:val="00462603"/>
    <w:rsid w:val="004955B6"/>
    <w:rsid w:val="004C434F"/>
    <w:rsid w:val="004D0C1F"/>
    <w:rsid w:val="004F72A4"/>
    <w:rsid w:val="00504C72"/>
    <w:rsid w:val="00506C48"/>
    <w:rsid w:val="005114A8"/>
    <w:rsid w:val="00514A41"/>
    <w:rsid w:val="00534D07"/>
    <w:rsid w:val="005530F5"/>
    <w:rsid w:val="0057225A"/>
    <w:rsid w:val="005909EB"/>
    <w:rsid w:val="005A580C"/>
    <w:rsid w:val="005B0309"/>
    <w:rsid w:val="005C0A5E"/>
    <w:rsid w:val="005E3354"/>
    <w:rsid w:val="005F195D"/>
    <w:rsid w:val="005F7F36"/>
    <w:rsid w:val="0063457A"/>
    <w:rsid w:val="00647D56"/>
    <w:rsid w:val="0065204B"/>
    <w:rsid w:val="006735B4"/>
    <w:rsid w:val="00677858"/>
    <w:rsid w:val="00687322"/>
    <w:rsid w:val="006A4F47"/>
    <w:rsid w:val="006B5766"/>
    <w:rsid w:val="006B7346"/>
    <w:rsid w:val="006C07D5"/>
    <w:rsid w:val="006C5074"/>
    <w:rsid w:val="006D0B68"/>
    <w:rsid w:val="00736DBA"/>
    <w:rsid w:val="007375C0"/>
    <w:rsid w:val="0074562F"/>
    <w:rsid w:val="00757385"/>
    <w:rsid w:val="00764422"/>
    <w:rsid w:val="00784106"/>
    <w:rsid w:val="007C613A"/>
    <w:rsid w:val="007C729D"/>
    <w:rsid w:val="007D6522"/>
    <w:rsid w:val="008154CA"/>
    <w:rsid w:val="00821865"/>
    <w:rsid w:val="008229F9"/>
    <w:rsid w:val="00863EF4"/>
    <w:rsid w:val="00877E03"/>
    <w:rsid w:val="00893D99"/>
    <w:rsid w:val="008C5503"/>
    <w:rsid w:val="008D583A"/>
    <w:rsid w:val="008F287F"/>
    <w:rsid w:val="00901DA5"/>
    <w:rsid w:val="009224D6"/>
    <w:rsid w:val="00925626"/>
    <w:rsid w:val="009358E6"/>
    <w:rsid w:val="009415C5"/>
    <w:rsid w:val="00944706"/>
    <w:rsid w:val="00950283"/>
    <w:rsid w:val="009B74A6"/>
    <w:rsid w:val="009C7362"/>
    <w:rsid w:val="009D7B6E"/>
    <w:rsid w:val="009E13CC"/>
    <w:rsid w:val="00A71ABC"/>
    <w:rsid w:val="00AB2B3D"/>
    <w:rsid w:val="00B30D76"/>
    <w:rsid w:val="00B35272"/>
    <w:rsid w:val="00B76B19"/>
    <w:rsid w:val="00B959D3"/>
    <w:rsid w:val="00BA40ED"/>
    <w:rsid w:val="00BB254A"/>
    <w:rsid w:val="00BC437A"/>
    <w:rsid w:val="00BE7701"/>
    <w:rsid w:val="00BF277E"/>
    <w:rsid w:val="00BF4E85"/>
    <w:rsid w:val="00C03BCA"/>
    <w:rsid w:val="00C25554"/>
    <w:rsid w:val="00C357BF"/>
    <w:rsid w:val="00C45FF3"/>
    <w:rsid w:val="00C5616A"/>
    <w:rsid w:val="00C75D4A"/>
    <w:rsid w:val="00C774A5"/>
    <w:rsid w:val="00CF4930"/>
    <w:rsid w:val="00D235C5"/>
    <w:rsid w:val="00D3780D"/>
    <w:rsid w:val="00D44F3F"/>
    <w:rsid w:val="00D60E23"/>
    <w:rsid w:val="00D65140"/>
    <w:rsid w:val="00D92691"/>
    <w:rsid w:val="00DB10D3"/>
    <w:rsid w:val="00DB7061"/>
    <w:rsid w:val="00DC688B"/>
    <w:rsid w:val="00DD7EBF"/>
    <w:rsid w:val="00E0187D"/>
    <w:rsid w:val="00E05B23"/>
    <w:rsid w:val="00E31EE3"/>
    <w:rsid w:val="00E322CE"/>
    <w:rsid w:val="00E53E42"/>
    <w:rsid w:val="00E7246E"/>
    <w:rsid w:val="00E81522"/>
    <w:rsid w:val="00E82FE1"/>
    <w:rsid w:val="00E83D14"/>
    <w:rsid w:val="00E91D4E"/>
    <w:rsid w:val="00EA38C3"/>
    <w:rsid w:val="00EA6F69"/>
    <w:rsid w:val="00EB1879"/>
    <w:rsid w:val="00EB22A7"/>
    <w:rsid w:val="00ED2949"/>
    <w:rsid w:val="00EE6977"/>
    <w:rsid w:val="00EF0EC1"/>
    <w:rsid w:val="00EF367C"/>
    <w:rsid w:val="00F24D0C"/>
    <w:rsid w:val="00F35B11"/>
    <w:rsid w:val="00F629BA"/>
    <w:rsid w:val="00F81966"/>
    <w:rsid w:val="00F8746C"/>
    <w:rsid w:val="00F94535"/>
    <w:rsid w:val="00FD25B3"/>
    <w:rsid w:val="00FE101D"/>
    <w:rsid w:val="00FF282C"/>
    <w:rsid w:val="00FF6A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ACEBEFC-B421-48F0-B8CE-2424E405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0A5E"/>
    <w:pPr>
      <w:spacing w:after="0" w:line="240" w:lineRule="auto"/>
      <w:ind w:left="708"/>
    </w:pPr>
    <w:rPr>
      <w:rFonts w:ascii="Times New Roman" w:eastAsia="Times New Roman" w:hAnsi="Times New Roman" w:cs="Times New Roman"/>
      <w:sz w:val="20"/>
      <w:szCs w:val="20"/>
      <w:lang w:val="es-ES" w:eastAsia="es-ES"/>
    </w:rPr>
  </w:style>
  <w:style w:type="paragraph" w:customStyle="1" w:styleId="Default">
    <w:name w:val="Default"/>
    <w:rsid w:val="005C0A5E"/>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Piedepgina">
    <w:name w:val="footer"/>
    <w:basedOn w:val="Normal"/>
    <w:link w:val="PiedepginaCar"/>
    <w:uiPriority w:val="99"/>
    <w:unhideWhenUsed/>
    <w:rsid w:val="005C0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A5E"/>
  </w:style>
  <w:style w:type="paragraph" w:styleId="Textonotapie">
    <w:name w:val="footnote text"/>
    <w:basedOn w:val="Normal"/>
    <w:link w:val="TextonotapieCar"/>
    <w:uiPriority w:val="99"/>
    <w:semiHidden/>
    <w:unhideWhenUsed/>
    <w:rsid w:val="005C0A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0A5E"/>
    <w:rPr>
      <w:sz w:val="20"/>
      <w:szCs w:val="20"/>
    </w:rPr>
  </w:style>
  <w:style w:type="character" w:styleId="Refdenotaalpie">
    <w:name w:val="footnote reference"/>
    <w:basedOn w:val="Fuentedeprrafopredeter"/>
    <w:uiPriority w:val="99"/>
    <w:semiHidden/>
    <w:unhideWhenUsed/>
    <w:rsid w:val="005C0A5E"/>
    <w:rPr>
      <w:vertAlign w:val="superscript"/>
    </w:rPr>
  </w:style>
  <w:style w:type="paragraph" w:styleId="Textodeglobo">
    <w:name w:val="Balloon Text"/>
    <w:basedOn w:val="Normal"/>
    <w:link w:val="TextodegloboCar"/>
    <w:uiPriority w:val="99"/>
    <w:semiHidden/>
    <w:unhideWhenUsed/>
    <w:rsid w:val="00437D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DB8"/>
    <w:rPr>
      <w:rFonts w:ascii="Tahoma" w:hAnsi="Tahoma" w:cs="Tahoma"/>
      <w:sz w:val="16"/>
      <w:szCs w:val="16"/>
    </w:rPr>
  </w:style>
  <w:style w:type="paragraph" w:styleId="Encabezado">
    <w:name w:val="header"/>
    <w:basedOn w:val="Normal"/>
    <w:link w:val="EncabezadoCar"/>
    <w:uiPriority w:val="99"/>
    <w:unhideWhenUsed/>
    <w:rsid w:val="00D926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691"/>
  </w:style>
  <w:style w:type="paragraph" w:styleId="Sinespaciado">
    <w:name w:val="No Spacing"/>
    <w:link w:val="SinespaciadoCar"/>
    <w:uiPriority w:val="1"/>
    <w:qFormat/>
    <w:rsid w:val="00F9453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94535"/>
    <w:rPr>
      <w:rFonts w:ascii="Calibri" w:eastAsia="Calibri" w:hAnsi="Calibri" w:cs="Times New Roman"/>
    </w:rPr>
  </w:style>
  <w:style w:type="paragraph" w:styleId="Textoindependiente">
    <w:name w:val="Body Text"/>
    <w:basedOn w:val="Normal"/>
    <w:link w:val="TextoindependienteCar"/>
    <w:rsid w:val="00677858"/>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677858"/>
    <w:rPr>
      <w:rFonts w:ascii="Arial" w:eastAsia="Times New Roman" w:hAnsi="Arial" w:cs="Times New Roman"/>
      <w:b/>
      <w:kern w:val="18"/>
      <w:sz w:val="28"/>
      <w:szCs w:val="20"/>
      <w:lang w:eastAsia="es-ES"/>
    </w:rPr>
  </w:style>
  <w:style w:type="paragraph" w:customStyle="1" w:styleId="Style2">
    <w:name w:val="Style2"/>
    <w:basedOn w:val="Normal"/>
    <w:uiPriority w:val="99"/>
    <w:rsid w:val="00764422"/>
    <w:pPr>
      <w:widowControl w:val="0"/>
      <w:autoSpaceDE w:val="0"/>
      <w:autoSpaceDN w:val="0"/>
      <w:adjustRightInd w:val="0"/>
      <w:spacing w:after="0" w:line="269" w:lineRule="exact"/>
      <w:jc w:val="both"/>
    </w:pPr>
    <w:rPr>
      <w:rFonts w:ascii="Arial" w:eastAsiaTheme="minorEastAsia" w:hAnsi="Arial" w:cs="Arial"/>
      <w:sz w:val="24"/>
      <w:szCs w:val="24"/>
      <w:lang w:eastAsia="es-MX"/>
    </w:rPr>
  </w:style>
  <w:style w:type="character" w:customStyle="1" w:styleId="FontStyle14">
    <w:name w:val="Font Style14"/>
    <w:basedOn w:val="Fuentedeprrafopredeter"/>
    <w:uiPriority w:val="99"/>
    <w:rsid w:val="00764422"/>
    <w:rPr>
      <w:rFonts w:ascii="Arial" w:hAnsi="Arial" w:cs="Arial"/>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509C-4601-4B2A-8CFF-3F9C2797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9126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Alejandro Alvarado</cp:lastModifiedBy>
  <cp:revision>4</cp:revision>
  <cp:lastPrinted>2022-01-28T19:24:00Z</cp:lastPrinted>
  <dcterms:created xsi:type="dcterms:W3CDTF">2022-02-02T18:07:00Z</dcterms:created>
  <dcterms:modified xsi:type="dcterms:W3CDTF">2022-02-02T19:04:00Z</dcterms:modified>
</cp:coreProperties>
</file>