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26" w:rsidRPr="008E1E1A" w:rsidRDefault="00E82617" w:rsidP="00AC239C">
      <w:pPr>
        <w:suppressAutoHyphens/>
        <w:autoSpaceDE w:val="0"/>
        <w:spacing w:after="0"/>
        <w:jc w:val="both"/>
        <w:rPr>
          <w:rFonts w:ascii="Trebuchet MS" w:hAnsi="Trebuchet MS" w:cs="Arial"/>
          <w:b/>
          <w:sz w:val="23"/>
          <w:szCs w:val="23"/>
          <w:lang w:val="es-ES" w:eastAsia="es-ES"/>
        </w:rPr>
      </w:pPr>
      <w:r w:rsidRPr="008E1E1A">
        <w:rPr>
          <w:rFonts w:ascii="Trebuchet MS" w:hAnsi="Trebuchet MS" w:cs="Arial"/>
          <w:b/>
          <w:sz w:val="23"/>
          <w:szCs w:val="23"/>
          <w:lang w:val="es-ES" w:eastAsia="es-ES"/>
        </w:rPr>
        <w:t xml:space="preserve">ACUERDO DEL CONSEJO GENERAL DEL INSTITUTO ELECTORAL Y DE PARTICIPACIÓN CIUDADANA DEL ESTADO DE JALISCO, POR EL QUE SE </w:t>
      </w:r>
      <w:r w:rsidR="000B4EF3" w:rsidRPr="008E1E1A">
        <w:rPr>
          <w:rFonts w:ascii="Trebuchet MS" w:hAnsi="Trebuchet MS" w:cs="Arial"/>
          <w:b/>
          <w:sz w:val="23"/>
          <w:szCs w:val="23"/>
          <w:lang w:val="es-ES" w:eastAsia="es-ES"/>
        </w:rPr>
        <w:t>DA</w:t>
      </w:r>
      <w:r w:rsidRPr="008E1E1A">
        <w:rPr>
          <w:rFonts w:ascii="Trebuchet MS" w:hAnsi="Trebuchet MS" w:cs="Arial"/>
          <w:b/>
          <w:color w:val="000000"/>
          <w:sz w:val="23"/>
          <w:szCs w:val="23"/>
          <w:lang w:val="es-ES"/>
        </w:rPr>
        <w:t xml:space="preserve"> CUMPLIMIENTO A LO ORDENADO EN LA RESOLUCIÓN DEL </w:t>
      </w:r>
      <w:r w:rsidR="005D5D27" w:rsidRPr="008E1E1A">
        <w:rPr>
          <w:rFonts w:ascii="Trebuchet MS" w:hAnsi="Trebuchet MS" w:cs="Arial"/>
          <w:b/>
          <w:color w:val="000000"/>
          <w:sz w:val="23"/>
          <w:szCs w:val="23"/>
          <w:lang w:val="es-ES"/>
        </w:rPr>
        <w:t>RECURSO DE APELACIÓN</w:t>
      </w:r>
      <w:r w:rsidRPr="008E1E1A">
        <w:rPr>
          <w:rFonts w:ascii="Trebuchet MS" w:hAnsi="Trebuchet MS" w:cs="Arial"/>
          <w:b/>
          <w:color w:val="000000"/>
          <w:sz w:val="23"/>
          <w:szCs w:val="23"/>
          <w:lang w:val="es-ES"/>
        </w:rPr>
        <w:t xml:space="preserve"> NÚMERO DE EXPEDIENTE </w:t>
      </w:r>
      <w:r w:rsidR="005D5D27" w:rsidRPr="008E1E1A">
        <w:rPr>
          <w:rFonts w:ascii="Trebuchet MS" w:hAnsi="Trebuchet MS" w:cs="Arial"/>
          <w:b/>
          <w:color w:val="000000"/>
          <w:sz w:val="23"/>
          <w:szCs w:val="23"/>
          <w:lang w:val="es-ES"/>
        </w:rPr>
        <w:t>RAP-056/2021 Y SUS ACUMULADOS RAP-001/2022, RAP-002/2022 Y RAP-005/2022</w:t>
      </w:r>
      <w:r w:rsidR="00AF421B" w:rsidRPr="008E1E1A">
        <w:rPr>
          <w:rFonts w:ascii="Trebuchet MS" w:hAnsi="Trebuchet MS" w:cs="Arial"/>
          <w:b/>
          <w:sz w:val="23"/>
          <w:szCs w:val="23"/>
          <w:lang w:val="es-ES" w:eastAsia="es-ES"/>
        </w:rPr>
        <w:t>,</w:t>
      </w:r>
      <w:r w:rsidRPr="008E1E1A">
        <w:rPr>
          <w:rFonts w:ascii="Trebuchet MS" w:hAnsi="Trebuchet MS" w:cs="Arial"/>
          <w:b/>
          <w:sz w:val="23"/>
          <w:szCs w:val="23"/>
          <w:lang w:val="es-ES" w:eastAsia="es-ES"/>
        </w:rPr>
        <w:t xml:space="preserve"> EMITIDA POR EL TRIBUNAL ELECTORAL DEL ESTADO DE JALISCO.</w:t>
      </w:r>
    </w:p>
    <w:p w:rsidR="000477DF" w:rsidRPr="008E1E1A" w:rsidRDefault="000477DF" w:rsidP="00AC239C">
      <w:pPr>
        <w:suppressAutoHyphens/>
        <w:autoSpaceDE w:val="0"/>
        <w:spacing w:after="0"/>
        <w:jc w:val="both"/>
        <w:rPr>
          <w:rFonts w:ascii="Trebuchet MS" w:hAnsi="Trebuchet MS" w:cs="Arial"/>
          <w:b/>
          <w:sz w:val="23"/>
          <w:szCs w:val="23"/>
          <w:lang w:val="es-ES" w:eastAsia="es-ES"/>
        </w:rPr>
      </w:pPr>
    </w:p>
    <w:p w:rsidR="00951651" w:rsidRPr="008E1E1A" w:rsidRDefault="00951651" w:rsidP="00AC239C">
      <w:pPr>
        <w:spacing w:after="0"/>
        <w:jc w:val="center"/>
        <w:rPr>
          <w:rFonts w:ascii="Trebuchet MS" w:eastAsia="Times New Roman" w:hAnsi="Trebuchet MS" w:cs="Arial"/>
          <w:b/>
          <w:sz w:val="23"/>
          <w:szCs w:val="23"/>
          <w:lang w:val="pt-BR" w:eastAsia="es-ES"/>
        </w:rPr>
      </w:pPr>
      <w:r w:rsidRPr="008E1E1A">
        <w:rPr>
          <w:rFonts w:ascii="Trebuchet MS" w:eastAsia="Times New Roman" w:hAnsi="Trebuchet MS" w:cs="Arial"/>
          <w:b/>
          <w:sz w:val="23"/>
          <w:szCs w:val="23"/>
          <w:lang w:val="pt-BR" w:eastAsia="es-ES"/>
        </w:rPr>
        <w:t>A N T E C E D E N T E S</w:t>
      </w:r>
    </w:p>
    <w:p w:rsidR="000477DF" w:rsidRPr="008E1E1A" w:rsidRDefault="000477DF" w:rsidP="00AC239C">
      <w:pPr>
        <w:spacing w:after="0"/>
        <w:jc w:val="center"/>
        <w:rPr>
          <w:rFonts w:ascii="Trebuchet MS" w:eastAsia="Times New Roman" w:hAnsi="Trebuchet MS" w:cs="Arial"/>
          <w:b/>
          <w:sz w:val="23"/>
          <w:szCs w:val="23"/>
          <w:lang w:val="pt-BR" w:eastAsia="es-ES"/>
        </w:rPr>
      </w:pPr>
    </w:p>
    <w:p w:rsidR="00E03566" w:rsidRPr="008E1E1A" w:rsidRDefault="00E03566" w:rsidP="00AC239C">
      <w:pPr>
        <w:spacing w:after="0"/>
        <w:jc w:val="both"/>
        <w:rPr>
          <w:rFonts w:ascii="Trebuchet MS" w:hAnsi="Trebuchet MS" w:cs="Arial"/>
          <w:b/>
          <w:bCs/>
          <w:sz w:val="23"/>
          <w:szCs w:val="23"/>
        </w:rPr>
      </w:pPr>
      <w:r w:rsidRPr="008E1E1A">
        <w:rPr>
          <w:rFonts w:ascii="Trebuchet MS" w:hAnsi="Trebuchet MS" w:cs="Arial"/>
          <w:b/>
          <w:bCs/>
          <w:sz w:val="23"/>
          <w:szCs w:val="23"/>
        </w:rPr>
        <w:t>CORRESPONDIENTES AL AÑO DOS MIL VEINTIUNO.</w:t>
      </w:r>
    </w:p>
    <w:p w:rsidR="00E03566" w:rsidRPr="008E1E1A" w:rsidRDefault="00E03566" w:rsidP="00AC239C">
      <w:pPr>
        <w:spacing w:after="0"/>
        <w:jc w:val="both"/>
        <w:rPr>
          <w:rFonts w:ascii="Trebuchet MS" w:hAnsi="Trebuchet MS" w:cs="Arial"/>
          <w:b/>
          <w:bCs/>
          <w:sz w:val="23"/>
          <w:szCs w:val="23"/>
        </w:rPr>
      </w:pPr>
    </w:p>
    <w:p w:rsidR="00E03566" w:rsidRPr="008E1E1A" w:rsidRDefault="00BD1024" w:rsidP="00AC239C">
      <w:pPr>
        <w:spacing w:after="0"/>
        <w:jc w:val="both"/>
        <w:rPr>
          <w:rFonts w:ascii="Trebuchet MS" w:hAnsi="Trebuchet MS" w:cs="Arial"/>
          <w:sz w:val="23"/>
          <w:szCs w:val="23"/>
        </w:rPr>
      </w:pPr>
      <w:r w:rsidRPr="008E1E1A">
        <w:rPr>
          <w:rFonts w:ascii="Trebuchet MS" w:hAnsi="Trebuchet MS" w:cs="Arial"/>
          <w:b/>
          <w:bCs/>
          <w:color w:val="000000"/>
          <w:sz w:val="23"/>
          <w:szCs w:val="23"/>
        </w:rPr>
        <w:t>1</w:t>
      </w:r>
      <w:r w:rsidR="00E03566" w:rsidRPr="008E1E1A">
        <w:rPr>
          <w:rFonts w:ascii="Trebuchet MS" w:hAnsi="Trebuchet MS" w:cs="Arial"/>
          <w:b/>
          <w:bCs/>
          <w:color w:val="000000"/>
          <w:sz w:val="23"/>
          <w:szCs w:val="23"/>
        </w:rPr>
        <w:t xml:space="preserve">. </w:t>
      </w:r>
      <w:r w:rsidRPr="008E1E1A">
        <w:rPr>
          <w:rFonts w:ascii="Trebuchet MS" w:hAnsi="Trebuchet MS" w:cs="Arial"/>
          <w:b/>
          <w:bCs/>
          <w:color w:val="000000"/>
          <w:sz w:val="23"/>
          <w:szCs w:val="23"/>
        </w:rPr>
        <w:t>ACUERDO QUE APROBÓ EL MONTO TOTAL DE FINANCIAMIENTO PÚBLICO ESTATAL PARA LOS PARTIDOS POLÍTICOS NACIONALES Y LOCALES PARA EL AÑO DOS MIL VEINTIDÓS</w:t>
      </w:r>
      <w:r w:rsidR="00E03566" w:rsidRPr="008E1E1A">
        <w:rPr>
          <w:rFonts w:ascii="Trebuchet MS" w:hAnsi="Trebuchet MS" w:cs="Arial"/>
          <w:b/>
          <w:sz w:val="23"/>
          <w:szCs w:val="23"/>
          <w:lang w:val="es-ES_tradnl"/>
        </w:rPr>
        <w:t xml:space="preserve">. </w:t>
      </w:r>
      <w:r w:rsidR="00E03566" w:rsidRPr="008E1E1A">
        <w:rPr>
          <w:rFonts w:ascii="Trebuchet MS" w:hAnsi="Trebuchet MS" w:cs="Arial"/>
          <w:color w:val="000000"/>
          <w:sz w:val="23"/>
          <w:szCs w:val="23"/>
        </w:rPr>
        <w:t xml:space="preserve">El </w:t>
      </w:r>
      <w:r w:rsidRPr="008E1E1A">
        <w:rPr>
          <w:rFonts w:ascii="Trebuchet MS" w:hAnsi="Trebuchet MS" w:cs="Arial"/>
          <w:color w:val="000000"/>
          <w:sz w:val="23"/>
          <w:szCs w:val="23"/>
        </w:rPr>
        <w:t>trece de agosto</w:t>
      </w:r>
      <w:r w:rsidR="00E03566" w:rsidRPr="008E1E1A">
        <w:rPr>
          <w:rFonts w:ascii="Trebuchet MS" w:hAnsi="Trebuchet MS" w:cs="Arial"/>
          <w:color w:val="000000"/>
          <w:sz w:val="23"/>
          <w:szCs w:val="23"/>
        </w:rPr>
        <w:t xml:space="preserve">, el Consejo General de este Instituto, mediante acuerdo </w:t>
      </w:r>
      <w:r w:rsidR="00E03566" w:rsidRPr="008E1E1A">
        <w:rPr>
          <w:rFonts w:ascii="Trebuchet MS" w:hAnsi="Trebuchet MS" w:cs="Arial"/>
          <w:bCs/>
          <w:color w:val="000000"/>
          <w:sz w:val="23"/>
          <w:szCs w:val="23"/>
        </w:rPr>
        <w:t>IEPC-ACG-</w:t>
      </w:r>
      <w:r w:rsidR="00531085" w:rsidRPr="008E1E1A">
        <w:rPr>
          <w:rFonts w:ascii="Trebuchet MS" w:hAnsi="Trebuchet MS" w:cs="Arial"/>
          <w:bCs/>
          <w:color w:val="000000"/>
          <w:sz w:val="23"/>
          <w:szCs w:val="23"/>
        </w:rPr>
        <w:t>302</w:t>
      </w:r>
      <w:r w:rsidR="00E03566" w:rsidRPr="008E1E1A">
        <w:rPr>
          <w:rFonts w:ascii="Trebuchet MS" w:hAnsi="Trebuchet MS" w:cs="Arial"/>
          <w:bCs/>
          <w:color w:val="000000"/>
          <w:sz w:val="23"/>
          <w:szCs w:val="23"/>
        </w:rPr>
        <w:t xml:space="preserve">/2021, </w:t>
      </w:r>
      <w:r w:rsidR="006C4CD5" w:rsidRPr="008E1E1A">
        <w:rPr>
          <w:rFonts w:ascii="Trebuchet MS" w:hAnsi="Trebuchet MS" w:cs="Arial"/>
          <w:bCs/>
          <w:color w:val="000000"/>
          <w:sz w:val="23"/>
          <w:szCs w:val="23"/>
        </w:rPr>
        <w:t>estableció</w:t>
      </w:r>
      <w:r w:rsidR="00531085" w:rsidRPr="008E1E1A">
        <w:rPr>
          <w:rFonts w:ascii="Trebuchet MS" w:hAnsi="Trebuchet MS" w:cs="Arial"/>
          <w:bCs/>
          <w:color w:val="000000"/>
          <w:sz w:val="23"/>
          <w:szCs w:val="23"/>
        </w:rPr>
        <w:t xml:space="preserve"> el mo</w:t>
      </w:r>
      <w:r w:rsidR="00531085" w:rsidRPr="008E1E1A">
        <w:rPr>
          <w:rFonts w:ascii="Trebuchet MS" w:hAnsi="Trebuchet MS" w:cs="Arial"/>
          <w:sz w:val="23"/>
          <w:szCs w:val="23"/>
        </w:rPr>
        <w:t>nto total de financiamiento público estatal de los partidos políticos nacionales y locales para el año dos mil veintidós</w:t>
      </w:r>
      <w:r w:rsidR="00E03566" w:rsidRPr="008E1E1A">
        <w:rPr>
          <w:rFonts w:ascii="Trebuchet MS" w:hAnsi="Trebuchet MS" w:cs="Arial"/>
          <w:sz w:val="23"/>
          <w:szCs w:val="23"/>
        </w:rPr>
        <w:t>.</w:t>
      </w:r>
    </w:p>
    <w:p w:rsidR="00E03566" w:rsidRPr="008E1E1A" w:rsidRDefault="00E03566" w:rsidP="00AC239C">
      <w:pPr>
        <w:spacing w:after="0"/>
        <w:jc w:val="both"/>
        <w:rPr>
          <w:rFonts w:ascii="Trebuchet MS" w:hAnsi="Trebuchet MS" w:cs="Arial"/>
          <w:sz w:val="23"/>
          <w:szCs w:val="23"/>
        </w:rPr>
      </w:pPr>
    </w:p>
    <w:p w:rsidR="006B4698" w:rsidRPr="008E1E1A" w:rsidRDefault="00D85517" w:rsidP="00AC239C">
      <w:pPr>
        <w:autoSpaceDE w:val="0"/>
        <w:autoSpaceDN w:val="0"/>
        <w:adjustRightInd w:val="0"/>
        <w:spacing w:after="0"/>
        <w:jc w:val="both"/>
        <w:rPr>
          <w:rFonts w:ascii="Trebuchet MS" w:eastAsia="Times New Roman" w:hAnsi="Trebuchet MS" w:cs="Arial"/>
          <w:color w:val="000000"/>
          <w:sz w:val="23"/>
          <w:szCs w:val="23"/>
          <w:lang w:eastAsia="ar-SA"/>
        </w:rPr>
      </w:pPr>
      <w:r w:rsidRPr="008E1E1A">
        <w:rPr>
          <w:rFonts w:ascii="Trebuchet MS" w:hAnsi="Trebuchet MS" w:cs="Arial"/>
          <w:b/>
          <w:sz w:val="23"/>
          <w:szCs w:val="23"/>
        </w:rPr>
        <w:t>2</w:t>
      </w:r>
      <w:r w:rsidR="00E03566" w:rsidRPr="008E1E1A">
        <w:rPr>
          <w:rFonts w:ascii="Trebuchet MS" w:hAnsi="Trebuchet MS" w:cs="Arial"/>
          <w:b/>
          <w:sz w:val="23"/>
          <w:szCs w:val="23"/>
        </w:rPr>
        <w:t xml:space="preserve">. </w:t>
      </w:r>
      <w:r w:rsidR="00E03566" w:rsidRPr="008E1E1A">
        <w:rPr>
          <w:rFonts w:ascii="Trebuchet MS" w:hAnsi="Trebuchet MS" w:cs="Arial"/>
          <w:b/>
          <w:color w:val="030304"/>
          <w:sz w:val="23"/>
          <w:szCs w:val="23"/>
        </w:rPr>
        <w:t>A</w:t>
      </w:r>
      <w:r w:rsidRPr="008E1E1A">
        <w:rPr>
          <w:rFonts w:ascii="Trebuchet MS" w:hAnsi="Trebuchet MS" w:cs="Arial"/>
          <w:b/>
          <w:color w:val="030304"/>
          <w:sz w:val="23"/>
          <w:szCs w:val="23"/>
        </w:rPr>
        <w:t>CUERDO POR EL QUE SE ESTABLECIERON LOS MONTOS DE FINANCIAMIENTO PÚBLICO LOCAL QUE CORRESPONDEN A LOS PARTIDOS POLÍTICOS NACIONALES CON ACREDITACIÓN EN LA ENTIDAD FEDERATIVA, ASÍ COMO A LOS PARTIDOS POLÍTICOS ESTATALES PARA EL EJERCICIO FISCAL DOS MIL VEINTIDÓS</w:t>
      </w:r>
      <w:r w:rsidR="00E03566" w:rsidRPr="008E1E1A">
        <w:rPr>
          <w:rFonts w:ascii="Trebuchet MS" w:hAnsi="Trebuchet MS" w:cs="Arial"/>
          <w:b/>
          <w:color w:val="030304"/>
          <w:sz w:val="23"/>
          <w:szCs w:val="23"/>
        </w:rPr>
        <w:t xml:space="preserve">. </w:t>
      </w:r>
      <w:r w:rsidR="00E03566" w:rsidRPr="008E1E1A">
        <w:rPr>
          <w:rFonts w:ascii="Trebuchet MS" w:hAnsi="Trebuchet MS" w:cs="Arial"/>
          <w:color w:val="030304"/>
          <w:sz w:val="23"/>
          <w:szCs w:val="23"/>
        </w:rPr>
        <w:t xml:space="preserve">El </w:t>
      </w:r>
      <w:r w:rsidR="006B4698" w:rsidRPr="008E1E1A">
        <w:rPr>
          <w:rFonts w:ascii="Trebuchet MS" w:hAnsi="Trebuchet MS" w:cs="Arial"/>
          <w:color w:val="030304"/>
          <w:sz w:val="23"/>
          <w:szCs w:val="23"/>
        </w:rPr>
        <w:t xml:space="preserve">veinte de diciembre, </w:t>
      </w:r>
      <w:r w:rsidR="00873C75" w:rsidRPr="008E1E1A">
        <w:rPr>
          <w:rFonts w:ascii="Trebuchet MS" w:eastAsia="Times New Roman" w:hAnsi="Trebuchet MS" w:cs="Arial"/>
          <w:color w:val="000000"/>
          <w:sz w:val="23"/>
          <w:szCs w:val="23"/>
          <w:lang w:eastAsia="ar-SA"/>
        </w:rPr>
        <w:t>el Consejo General de este Instituto, mediante acuerdo IEPC-ACG-</w:t>
      </w:r>
      <w:r w:rsidR="006B4698" w:rsidRPr="008E1E1A">
        <w:rPr>
          <w:rFonts w:ascii="Trebuchet MS" w:eastAsia="Times New Roman" w:hAnsi="Trebuchet MS" w:cs="Arial"/>
          <w:color w:val="000000"/>
          <w:sz w:val="23"/>
          <w:szCs w:val="23"/>
          <w:lang w:eastAsia="ar-SA"/>
        </w:rPr>
        <w:t>398</w:t>
      </w:r>
      <w:r w:rsidR="00873C75" w:rsidRPr="008E1E1A">
        <w:rPr>
          <w:rFonts w:ascii="Trebuchet MS" w:eastAsia="Times New Roman" w:hAnsi="Trebuchet MS" w:cs="Arial"/>
          <w:color w:val="000000"/>
          <w:sz w:val="23"/>
          <w:szCs w:val="23"/>
          <w:lang w:eastAsia="ar-SA"/>
        </w:rPr>
        <w:t xml:space="preserve">/2021, </w:t>
      </w:r>
      <w:r w:rsidR="006C4CD5" w:rsidRPr="008E1E1A">
        <w:rPr>
          <w:rFonts w:ascii="Trebuchet MS" w:eastAsia="Times New Roman" w:hAnsi="Trebuchet MS" w:cs="Arial"/>
          <w:color w:val="000000"/>
          <w:sz w:val="23"/>
          <w:szCs w:val="23"/>
          <w:lang w:eastAsia="ar-SA"/>
        </w:rPr>
        <w:t>aprobó</w:t>
      </w:r>
      <w:r w:rsidR="006B4698" w:rsidRPr="008E1E1A">
        <w:rPr>
          <w:rFonts w:ascii="Trebuchet MS" w:eastAsia="Times New Roman" w:hAnsi="Trebuchet MS" w:cs="Arial"/>
          <w:color w:val="000000"/>
          <w:sz w:val="23"/>
          <w:szCs w:val="23"/>
          <w:lang w:eastAsia="ar-SA"/>
        </w:rPr>
        <w:t xml:space="preserve"> los montos de financiamiento </w:t>
      </w:r>
      <w:r w:rsidR="006B4698" w:rsidRPr="008E1E1A">
        <w:rPr>
          <w:rFonts w:ascii="Trebuchet MS" w:hAnsi="Trebuchet MS" w:cs="Arial"/>
          <w:color w:val="030304"/>
          <w:sz w:val="23"/>
          <w:szCs w:val="23"/>
        </w:rPr>
        <w:t>público local que corresponden a los partidos políticos nacionales con acreditación en la entidad federativa, así como a los partidos políticos estatales para el ejercicio fiscal dos mil veintidós.</w:t>
      </w:r>
    </w:p>
    <w:p w:rsidR="00530AA3" w:rsidRPr="008E1E1A" w:rsidRDefault="00530AA3" w:rsidP="00AC239C">
      <w:pPr>
        <w:suppressAutoHyphens/>
        <w:autoSpaceDE w:val="0"/>
        <w:spacing w:after="0"/>
        <w:jc w:val="both"/>
        <w:rPr>
          <w:rFonts w:ascii="Trebuchet MS" w:eastAsia="Times New Roman" w:hAnsi="Trebuchet MS" w:cs="Arial"/>
          <w:color w:val="000000"/>
          <w:sz w:val="23"/>
          <w:szCs w:val="23"/>
          <w:lang w:eastAsia="ar-SA"/>
        </w:rPr>
      </w:pPr>
    </w:p>
    <w:p w:rsidR="0036509C" w:rsidRPr="008E1E1A" w:rsidRDefault="00A7586F" w:rsidP="00AC239C">
      <w:pPr>
        <w:shd w:val="clear" w:color="auto" w:fill="FFFFFF" w:themeFill="background1"/>
        <w:suppressAutoHyphens/>
        <w:autoSpaceDE w:val="0"/>
        <w:spacing w:after="0"/>
        <w:jc w:val="both"/>
        <w:rPr>
          <w:rFonts w:ascii="Trebuchet MS" w:eastAsia="Times New Roman" w:hAnsi="Trebuchet MS" w:cs="Arial"/>
          <w:color w:val="000000"/>
          <w:sz w:val="23"/>
          <w:szCs w:val="23"/>
          <w:lang w:eastAsia="ar-SA"/>
        </w:rPr>
      </w:pPr>
      <w:r w:rsidRPr="008E1E1A">
        <w:rPr>
          <w:rFonts w:ascii="Trebuchet MS" w:eastAsia="Times New Roman" w:hAnsi="Trebuchet MS" w:cs="Arial"/>
          <w:b/>
          <w:color w:val="000000"/>
          <w:sz w:val="23"/>
          <w:szCs w:val="23"/>
          <w:lang w:eastAsia="ar-SA"/>
        </w:rPr>
        <w:t>3</w:t>
      </w:r>
      <w:r w:rsidR="00DA2382" w:rsidRPr="008E1E1A">
        <w:rPr>
          <w:rFonts w:ascii="Trebuchet MS" w:eastAsia="Times New Roman" w:hAnsi="Trebuchet MS" w:cs="Arial"/>
          <w:b/>
          <w:color w:val="000000"/>
          <w:sz w:val="23"/>
          <w:szCs w:val="23"/>
          <w:lang w:eastAsia="ar-SA"/>
        </w:rPr>
        <w:t xml:space="preserve">. </w:t>
      </w:r>
      <w:r w:rsidR="007D1057" w:rsidRPr="008E1E1A">
        <w:rPr>
          <w:rFonts w:ascii="Trebuchet MS" w:eastAsia="Times New Roman" w:hAnsi="Trebuchet MS" w:cs="Arial"/>
          <w:b/>
          <w:color w:val="000000"/>
          <w:sz w:val="23"/>
          <w:szCs w:val="23"/>
          <w:lang w:eastAsia="ar-SA"/>
        </w:rPr>
        <w:t>RECURSOS DE APELACIÓN</w:t>
      </w:r>
      <w:r w:rsidR="006C4CD5" w:rsidRPr="008E1E1A">
        <w:rPr>
          <w:rFonts w:ascii="Trebuchet MS" w:eastAsia="Times New Roman" w:hAnsi="Trebuchet MS" w:cs="Arial"/>
          <w:b/>
          <w:color w:val="000000"/>
          <w:sz w:val="23"/>
          <w:szCs w:val="23"/>
          <w:lang w:eastAsia="ar-SA"/>
        </w:rPr>
        <w:t xml:space="preserve"> PROMOVIDOS EN CONTRA DEL ACUERDO IEPC-ACG-398/2021</w:t>
      </w:r>
      <w:r w:rsidR="00DA2382" w:rsidRPr="008E1E1A">
        <w:rPr>
          <w:rFonts w:ascii="Trebuchet MS" w:eastAsia="Times New Roman" w:hAnsi="Trebuchet MS" w:cs="Arial"/>
          <w:b/>
          <w:color w:val="000000"/>
          <w:sz w:val="23"/>
          <w:szCs w:val="23"/>
          <w:lang w:eastAsia="ar-SA"/>
        </w:rPr>
        <w:t>.</w:t>
      </w:r>
      <w:r w:rsidR="00ED3F29" w:rsidRPr="008E1E1A">
        <w:rPr>
          <w:rFonts w:ascii="Trebuchet MS" w:eastAsia="Times New Roman" w:hAnsi="Trebuchet MS" w:cs="Arial"/>
          <w:color w:val="000000"/>
          <w:sz w:val="23"/>
          <w:szCs w:val="23"/>
          <w:lang w:eastAsia="ar-SA"/>
        </w:rPr>
        <w:t xml:space="preserve"> Con fecha</w:t>
      </w:r>
      <w:r w:rsidR="007D1057" w:rsidRPr="008E1E1A">
        <w:rPr>
          <w:rFonts w:ascii="Trebuchet MS" w:eastAsia="Times New Roman" w:hAnsi="Trebuchet MS" w:cs="Arial"/>
          <w:color w:val="000000"/>
          <w:sz w:val="23"/>
          <w:szCs w:val="23"/>
          <w:lang w:eastAsia="ar-SA"/>
        </w:rPr>
        <w:t>s</w:t>
      </w:r>
      <w:r w:rsidR="00793C3B" w:rsidRPr="008E1E1A">
        <w:rPr>
          <w:rFonts w:ascii="Trebuchet MS" w:eastAsia="Times New Roman" w:hAnsi="Trebuchet MS" w:cs="Arial"/>
          <w:color w:val="000000"/>
          <w:sz w:val="23"/>
          <w:szCs w:val="23"/>
          <w:lang w:eastAsia="ar-SA"/>
        </w:rPr>
        <w:t xml:space="preserve"> </w:t>
      </w:r>
      <w:r w:rsidR="006E2DEB" w:rsidRPr="008E1E1A">
        <w:rPr>
          <w:rFonts w:ascii="Trebuchet MS" w:eastAsia="Times New Roman" w:hAnsi="Trebuchet MS" w:cs="Arial"/>
          <w:color w:val="000000"/>
          <w:sz w:val="23"/>
          <w:szCs w:val="23"/>
          <w:lang w:eastAsia="ar-SA"/>
        </w:rPr>
        <w:t>veintitrés, veintiocho y veintinueve de diciembre</w:t>
      </w:r>
      <w:r w:rsidR="00DA2382" w:rsidRPr="008E1E1A">
        <w:rPr>
          <w:rFonts w:ascii="Trebuchet MS" w:eastAsia="Times New Roman" w:hAnsi="Trebuchet MS" w:cs="Arial"/>
          <w:color w:val="000000"/>
          <w:sz w:val="23"/>
          <w:szCs w:val="23"/>
          <w:lang w:eastAsia="ar-SA"/>
        </w:rPr>
        <w:t>,</w:t>
      </w:r>
      <w:r w:rsidR="007B031E" w:rsidRPr="008E1E1A">
        <w:rPr>
          <w:rFonts w:ascii="Trebuchet MS" w:eastAsia="Times New Roman" w:hAnsi="Trebuchet MS" w:cs="Arial"/>
          <w:color w:val="000000"/>
          <w:sz w:val="23"/>
          <w:szCs w:val="23"/>
          <w:lang w:eastAsia="ar-SA"/>
        </w:rPr>
        <w:t xml:space="preserve"> </w:t>
      </w:r>
      <w:r w:rsidR="00BF3A25" w:rsidRPr="008E1E1A">
        <w:rPr>
          <w:rFonts w:ascii="Trebuchet MS" w:eastAsia="Times New Roman" w:hAnsi="Trebuchet MS" w:cs="Arial"/>
          <w:color w:val="000000"/>
          <w:sz w:val="23"/>
          <w:szCs w:val="23"/>
          <w:lang w:eastAsia="ar-SA"/>
        </w:rPr>
        <w:t>los consej</w:t>
      </w:r>
      <w:r w:rsidR="000B4EF3" w:rsidRPr="008E1E1A">
        <w:rPr>
          <w:rFonts w:ascii="Trebuchet MS" w:eastAsia="Times New Roman" w:hAnsi="Trebuchet MS" w:cs="Arial"/>
          <w:color w:val="000000"/>
          <w:sz w:val="23"/>
          <w:szCs w:val="23"/>
          <w:lang w:eastAsia="ar-SA"/>
        </w:rPr>
        <w:t>eros representantes del Partido</w:t>
      </w:r>
      <w:r w:rsidR="00BF3A25" w:rsidRPr="008E1E1A">
        <w:rPr>
          <w:rFonts w:ascii="Trebuchet MS" w:eastAsia="Times New Roman" w:hAnsi="Trebuchet MS" w:cs="Arial"/>
          <w:color w:val="000000"/>
          <w:sz w:val="23"/>
          <w:szCs w:val="23"/>
          <w:lang w:eastAsia="ar-SA"/>
        </w:rPr>
        <w:t xml:space="preserve"> Revolucionario Institucional, Partido Acción Nacional, </w:t>
      </w:r>
      <w:r w:rsidR="00AA5EFE" w:rsidRPr="008E1E1A">
        <w:rPr>
          <w:rFonts w:ascii="Trebuchet MS" w:eastAsia="Times New Roman" w:hAnsi="Trebuchet MS" w:cs="Arial"/>
          <w:color w:val="000000"/>
          <w:sz w:val="23"/>
          <w:szCs w:val="23"/>
          <w:lang w:eastAsia="ar-SA"/>
        </w:rPr>
        <w:t>partido político Morena y partido político Movimiento Ciudadano</w:t>
      </w:r>
      <w:r w:rsidR="00DA2382" w:rsidRPr="008E1E1A">
        <w:rPr>
          <w:rFonts w:ascii="Trebuchet MS" w:eastAsia="Times New Roman" w:hAnsi="Trebuchet MS" w:cs="Arial"/>
          <w:color w:val="000000"/>
          <w:sz w:val="23"/>
          <w:szCs w:val="23"/>
          <w:lang w:eastAsia="ar-SA"/>
        </w:rPr>
        <w:t xml:space="preserve"> p</w:t>
      </w:r>
      <w:r w:rsidR="0064022C" w:rsidRPr="008E1E1A">
        <w:rPr>
          <w:rFonts w:ascii="Trebuchet MS" w:eastAsia="Times New Roman" w:hAnsi="Trebuchet MS" w:cs="Arial"/>
          <w:color w:val="000000"/>
          <w:sz w:val="23"/>
          <w:szCs w:val="23"/>
          <w:lang w:eastAsia="ar-SA"/>
        </w:rPr>
        <w:t>resent</w:t>
      </w:r>
      <w:r w:rsidR="00AA5EFE" w:rsidRPr="008E1E1A">
        <w:rPr>
          <w:rFonts w:ascii="Trebuchet MS" w:eastAsia="Times New Roman" w:hAnsi="Trebuchet MS" w:cs="Arial"/>
          <w:color w:val="000000"/>
          <w:sz w:val="23"/>
          <w:szCs w:val="23"/>
          <w:lang w:eastAsia="ar-SA"/>
        </w:rPr>
        <w:t xml:space="preserve">aron, respectivamente, recursos de apelación </w:t>
      </w:r>
      <w:r w:rsidR="00793C3B" w:rsidRPr="008E1E1A">
        <w:rPr>
          <w:rFonts w:ascii="Trebuchet MS" w:eastAsia="Times New Roman" w:hAnsi="Trebuchet MS" w:cs="Arial"/>
          <w:color w:val="000000"/>
          <w:sz w:val="23"/>
          <w:szCs w:val="23"/>
          <w:lang w:eastAsia="ar-SA"/>
        </w:rPr>
        <w:t>en contra del acuerdo IEPC-ACG-</w:t>
      </w:r>
      <w:r w:rsidR="00AA5EFE" w:rsidRPr="008E1E1A">
        <w:rPr>
          <w:rFonts w:ascii="Trebuchet MS" w:eastAsia="Times New Roman" w:hAnsi="Trebuchet MS" w:cs="Arial"/>
          <w:color w:val="000000"/>
          <w:sz w:val="23"/>
          <w:szCs w:val="23"/>
          <w:lang w:eastAsia="ar-SA"/>
        </w:rPr>
        <w:t>398</w:t>
      </w:r>
      <w:r w:rsidR="0064022C" w:rsidRPr="008E1E1A">
        <w:rPr>
          <w:rFonts w:ascii="Trebuchet MS" w:eastAsia="Times New Roman" w:hAnsi="Trebuchet MS" w:cs="Arial"/>
          <w:color w:val="000000"/>
          <w:sz w:val="23"/>
          <w:szCs w:val="23"/>
          <w:lang w:eastAsia="ar-SA"/>
        </w:rPr>
        <w:t>/2021</w:t>
      </w:r>
      <w:r w:rsidR="00DA2382" w:rsidRPr="008E1E1A">
        <w:rPr>
          <w:rFonts w:ascii="Trebuchet MS" w:eastAsia="Times New Roman" w:hAnsi="Trebuchet MS" w:cs="Arial"/>
          <w:color w:val="000000"/>
          <w:sz w:val="23"/>
          <w:szCs w:val="23"/>
          <w:lang w:eastAsia="ar-SA"/>
        </w:rPr>
        <w:t xml:space="preserve">, </w:t>
      </w:r>
      <w:r w:rsidR="005A0125" w:rsidRPr="008E1E1A">
        <w:rPr>
          <w:rFonts w:ascii="Trebuchet MS" w:eastAsia="Times New Roman" w:hAnsi="Trebuchet MS" w:cs="Arial"/>
          <w:color w:val="000000"/>
          <w:sz w:val="23"/>
          <w:szCs w:val="23"/>
          <w:lang w:eastAsia="ar-SA"/>
        </w:rPr>
        <w:t>mismo</w:t>
      </w:r>
      <w:r w:rsidR="00AA5EFE" w:rsidRPr="008E1E1A">
        <w:rPr>
          <w:rFonts w:ascii="Trebuchet MS" w:eastAsia="Times New Roman" w:hAnsi="Trebuchet MS" w:cs="Arial"/>
          <w:color w:val="000000"/>
          <w:sz w:val="23"/>
          <w:szCs w:val="23"/>
          <w:lang w:eastAsia="ar-SA"/>
        </w:rPr>
        <w:t>s</w:t>
      </w:r>
      <w:r w:rsidR="005A0125" w:rsidRPr="008E1E1A">
        <w:rPr>
          <w:rFonts w:ascii="Trebuchet MS" w:eastAsia="Times New Roman" w:hAnsi="Trebuchet MS" w:cs="Arial"/>
          <w:color w:val="000000"/>
          <w:sz w:val="23"/>
          <w:szCs w:val="23"/>
          <w:lang w:eastAsia="ar-SA"/>
        </w:rPr>
        <w:t xml:space="preserve"> que fue</w:t>
      </w:r>
      <w:r w:rsidR="00AA5EFE" w:rsidRPr="008E1E1A">
        <w:rPr>
          <w:rFonts w:ascii="Trebuchet MS" w:eastAsia="Times New Roman" w:hAnsi="Trebuchet MS" w:cs="Arial"/>
          <w:color w:val="000000"/>
          <w:sz w:val="23"/>
          <w:szCs w:val="23"/>
          <w:lang w:eastAsia="ar-SA"/>
        </w:rPr>
        <w:t>ron</w:t>
      </w:r>
      <w:r w:rsidR="005A0125" w:rsidRPr="008E1E1A">
        <w:rPr>
          <w:rFonts w:ascii="Trebuchet MS" w:eastAsia="Times New Roman" w:hAnsi="Trebuchet MS" w:cs="Arial"/>
          <w:color w:val="000000"/>
          <w:sz w:val="23"/>
          <w:szCs w:val="23"/>
          <w:lang w:eastAsia="ar-SA"/>
        </w:rPr>
        <w:t xml:space="preserve"> remitido</w:t>
      </w:r>
      <w:r w:rsidR="00AA5EFE" w:rsidRPr="008E1E1A">
        <w:rPr>
          <w:rFonts w:ascii="Trebuchet MS" w:eastAsia="Times New Roman" w:hAnsi="Trebuchet MS" w:cs="Arial"/>
          <w:color w:val="000000"/>
          <w:sz w:val="23"/>
          <w:szCs w:val="23"/>
          <w:lang w:eastAsia="ar-SA"/>
        </w:rPr>
        <w:t>s</w:t>
      </w:r>
      <w:r w:rsidR="005A0125" w:rsidRPr="008E1E1A">
        <w:rPr>
          <w:rFonts w:ascii="Trebuchet MS" w:eastAsia="Times New Roman" w:hAnsi="Trebuchet MS" w:cs="Arial"/>
          <w:color w:val="000000"/>
          <w:sz w:val="23"/>
          <w:szCs w:val="23"/>
          <w:lang w:eastAsia="ar-SA"/>
        </w:rPr>
        <w:t xml:space="preserve"> a</w:t>
      </w:r>
      <w:r w:rsidR="007B5D8F" w:rsidRPr="008E1E1A">
        <w:rPr>
          <w:rFonts w:ascii="Trebuchet MS" w:eastAsia="Times New Roman" w:hAnsi="Trebuchet MS" w:cs="Arial"/>
          <w:color w:val="000000"/>
          <w:sz w:val="23"/>
          <w:szCs w:val="23"/>
          <w:lang w:eastAsia="ar-SA"/>
        </w:rPr>
        <w:t xml:space="preserve">l Tribunal Electoral del Estado de Jalisco, </w:t>
      </w:r>
      <w:r w:rsidR="00151F92" w:rsidRPr="008E1E1A">
        <w:rPr>
          <w:rFonts w:ascii="Trebuchet MS" w:eastAsia="Times New Roman" w:hAnsi="Trebuchet MS" w:cs="Arial"/>
          <w:color w:val="000000"/>
          <w:sz w:val="23"/>
          <w:szCs w:val="23"/>
          <w:lang w:eastAsia="ar-SA"/>
        </w:rPr>
        <w:t>donde se registr</w:t>
      </w:r>
      <w:r w:rsidR="00AA5EFE" w:rsidRPr="008E1E1A">
        <w:rPr>
          <w:rFonts w:ascii="Trebuchet MS" w:eastAsia="Times New Roman" w:hAnsi="Trebuchet MS" w:cs="Arial"/>
          <w:color w:val="000000"/>
          <w:sz w:val="23"/>
          <w:szCs w:val="23"/>
          <w:lang w:eastAsia="ar-SA"/>
        </w:rPr>
        <w:t>aron</w:t>
      </w:r>
      <w:r w:rsidR="00151F92" w:rsidRPr="008E1E1A">
        <w:rPr>
          <w:rFonts w:ascii="Trebuchet MS" w:eastAsia="Times New Roman" w:hAnsi="Trebuchet MS" w:cs="Arial"/>
          <w:color w:val="000000"/>
          <w:sz w:val="23"/>
          <w:szCs w:val="23"/>
          <w:lang w:eastAsia="ar-SA"/>
        </w:rPr>
        <w:t xml:space="preserve"> </w:t>
      </w:r>
      <w:r w:rsidR="00793C3B" w:rsidRPr="008E1E1A">
        <w:rPr>
          <w:rFonts w:ascii="Trebuchet MS" w:eastAsia="Times New Roman" w:hAnsi="Trebuchet MS" w:cs="Arial"/>
          <w:color w:val="000000"/>
          <w:sz w:val="23"/>
          <w:szCs w:val="23"/>
          <w:lang w:eastAsia="ar-SA"/>
        </w:rPr>
        <w:t xml:space="preserve">con </w:t>
      </w:r>
      <w:r w:rsidR="00AA5EFE" w:rsidRPr="008E1E1A">
        <w:rPr>
          <w:rFonts w:ascii="Trebuchet MS" w:eastAsia="Times New Roman" w:hAnsi="Trebuchet MS" w:cs="Arial"/>
          <w:color w:val="000000"/>
          <w:sz w:val="23"/>
          <w:szCs w:val="23"/>
          <w:lang w:eastAsia="ar-SA"/>
        </w:rPr>
        <w:t>los números de expediente RAP-056/2021, RAP-001/2022, RAP-002/2022 y RAP-005/2022.</w:t>
      </w:r>
    </w:p>
    <w:p w:rsidR="0036509C" w:rsidRPr="008E1E1A" w:rsidRDefault="0036509C" w:rsidP="00AC239C">
      <w:pPr>
        <w:shd w:val="clear" w:color="auto" w:fill="FFFFFF" w:themeFill="background1"/>
        <w:suppressAutoHyphens/>
        <w:autoSpaceDE w:val="0"/>
        <w:spacing w:after="0"/>
        <w:jc w:val="both"/>
        <w:rPr>
          <w:rFonts w:ascii="Trebuchet MS" w:eastAsia="Times New Roman" w:hAnsi="Trebuchet MS" w:cs="Arial"/>
          <w:color w:val="000000"/>
          <w:sz w:val="23"/>
          <w:szCs w:val="23"/>
          <w:lang w:eastAsia="ar-SA"/>
        </w:rPr>
      </w:pPr>
    </w:p>
    <w:p w:rsidR="00F53270" w:rsidRPr="008E1E1A" w:rsidRDefault="00F53270" w:rsidP="00AC239C">
      <w:pPr>
        <w:shd w:val="clear" w:color="auto" w:fill="FFFFFF" w:themeFill="background1"/>
        <w:suppressAutoHyphens/>
        <w:autoSpaceDE w:val="0"/>
        <w:spacing w:after="0"/>
        <w:jc w:val="both"/>
        <w:rPr>
          <w:rFonts w:ascii="Trebuchet MS" w:eastAsia="Times New Roman" w:hAnsi="Trebuchet MS" w:cs="Arial"/>
          <w:b/>
          <w:color w:val="000000"/>
          <w:sz w:val="23"/>
          <w:szCs w:val="23"/>
          <w:lang w:eastAsia="ar-SA"/>
        </w:rPr>
      </w:pPr>
      <w:r w:rsidRPr="008E1E1A">
        <w:rPr>
          <w:rFonts w:ascii="Trebuchet MS" w:eastAsia="Times New Roman" w:hAnsi="Trebuchet MS" w:cs="Arial"/>
          <w:b/>
          <w:color w:val="000000"/>
          <w:sz w:val="23"/>
          <w:szCs w:val="23"/>
          <w:lang w:eastAsia="ar-SA"/>
        </w:rPr>
        <w:t>CORRESPONDIENTES AL AÑO DOS MIL VEINTIDÓS.</w:t>
      </w:r>
    </w:p>
    <w:p w:rsidR="00F53270" w:rsidRPr="008E1E1A" w:rsidRDefault="00F53270" w:rsidP="00AC239C">
      <w:pPr>
        <w:shd w:val="clear" w:color="auto" w:fill="FFFFFF" w:themeFill="background1"/>
        <w:suppressAutoHyphens/>
        <w:autoSpaceDE w:val="0"/>
        <w:spacing w:after="0"/>
        <w:jc w:val="both"/>
        <w:rPr>
          <w:rFonts w:ascii="Trebuchet MS" w:eastAsia="Times New Roman" w:hAnsi="Trebuchet MS" w:cs="Arial"/>
          <w:b/>
          <w:color w:val="000000"/>
          <w:sz w:val="23"/>
          <w:szCs w:val="23"/>
          <w:lang w:eastAsia="ar-SA"/>
        </w:rPr>
      </w:pPr>
    </w:p>
    <w:p w:rsidR="00DA2382" w:rsidRPr="008E1E1A" w:rsidRDefault="00F53270" w:rsidP="00AC239C">
      <w:pPr>
        <w:shd w:val="clear" w:color="auto" w:fill="FFFFFF" w:themeFill="background1"/>
        <w:suppressAutoHyphens/>
        <w:autoSpaceDE w:val="0"/>
        <w:spacing w:after="0"/>
        <w:jc w:val="both"/>
        <w:rPr>
          <w:rFonts w:ascii="Trebuchet MS" w:eastAsia="Times New Roman" w:hAnsi="Trebuchet MS" w:cs="Arial"/>
          <w:color w:val="000000"/>
          <w:sz w:val="23"/>
          <w:szCs w:val="23"/>
          <w:lang w:eastAsia="ar-SA"/>
        </w:rPr>
      </w:pPr>
      <w:r w:rsidRPr="008E1E1A">
        <w:rPr>
          <w:rFonts w:ascii="Trebuchet MS" w:eastAsia="Times New Roman" w:hAnsi="Trebuchet MS" w:cs="Arial"/>
          <w:b/>
          <w:color w:val="000000"/>
          <w:sz w:val="23"/>
          <w:szCs w:val="23"/>
          <w:lang w:eastAsia="ar-SA"/>
        </w:rPr>
        <w:lastRenderedPageBreak/>
        <w:t>4. ACUMULACIÓN</w:t>
      </w:r>
      <w:r w:rsidR="003B6EE5" w:rsidRPr="008E1E1A">
        <w:rPr>
          <w:rFonts w:ascii="Trebuchet MS" w:eastAsia="Times New Roman" w:hAnsi="Trebuchet MS" w:cs="Arial"/>
          <w:b/>
          <w:color w:val="000000"/>
          <w:sz w:val="23"/>
          <w:szCs w:val="23"/>
          <w:lang w:eastAsia="ar-SA"/>
        </w:rPr>
        <w:t xml:space="preserve"> DE RECURSOS DE APELACIÓN.</w:t>
      </w:r>
      <w:r w:rsidR="003B6EE5" w:rsidRPr="008E1E1A">
        <w:rPr>
          <w:rFonts w:ascii="Trebuchet MS" w:eastAsia="Times New Roman" w:hAnsi="Trebuchet MS" w:cs="Arial"/>
          <w:color w:val="000000"/>
          <w:sz w:val="23"/>
          <w:szCs w:val="23"/>
          <w:lang w:eastAsia="ar-SA"/>
        </w:rPr>
        <w:t xml:space="preserve"> M</w:t>
      </w:r>
      <w:r w:rsidR="0036509C" w:rsidRPr="008E1E1A">
        <w:rPr>
          <w:rFonts w:ascii="Trebuchet MS" w:eastAsia="Times New Roman" w:hAnsi="Trebuchet MS" w:cs="Arial"/>
          <w:color w:val="000000"/>
          <w:sz w:val="23"/>
          <w:szCs w:val="23"/>
          <w:lang w:eastAsia="ar-SA"/>
        </w:rPr>
        <w:t>ediante acuerdo de veintitrés de marzo, emitido en el recurso de apelación RAP-056/2021 se decretó la acumulación de los expedientes</w:t>
      </w:r>
      <w:r w:rsidR="00DA2382" w:rsidRPr="008E1E1A">
        <w:rPr>
          <w:rFonts w:ascii="Trebuchet MS" w:eastAsia="Times New Roman" w:hAnsi="Trebuchet MS" w:cs="Arial"/>
          <w:color w:val="000000"/>
          <w:sz w:val="23"/>
          <w:szCs w:val="23"/>
          <w:lang w:eastAsia="ar-SA"/>
        </w:rPr>
        <w:t xml:space="preserve"> </w:t>
      </w:r>
      <w:r w:rsidR="0036509C" w:rsidRPr="008E1E1A">
        <w:rPr>
          <w:rFonts w:ascii="Trebuchet MS" w:eastAsia="Times New Roman" w:hAnsi="Trebuchet MS" w:cs="Arial"/>
          <w:color w:val="000000"/>
          <w:sz w:val="23"/>
          <w:szCs w:val="23"/>
          <w:lang w:eastAsia="ar-SA"/>
        </w:rPr>
        <w:t>RAP-001/2022, RAP-002/2022 y RAP-005/2022</w:t>
      </w:r>
      <w:r w:rsidR="00DD4E1C" w:rsidRPr="008E1E1A">
        <w:rPr>
          <w:rFonts w:ascii="Trebuchet MS" w:eastAsia="Times New Roman" w:hAnsi="Trebuchet MS" w:cs="Arial"/>
          <w:color w:val="000000"/>
          <w:sz w:val="23"/>
          <w:szCs w:val="23"/>
          <w:lang w:eastAsia="ar-SA"/>
        </w:rPr>
        <w:t xml:space="preserve"> al mencionado en primer término.</w:t>
      </w:r>
    </w:p>
    <w:p w:rsidR="00DA2382" w:rsidRPr="008E1E1A" w:rsidRDefault="00DA2382" w:rsidP="00AC239C">
      <w:pPr>
        <w:suppressAutoHyphens/>
        <w:autoSpaceDE w:val="0"/>
        <w:spacing w:after="0"/>
        <w:jc w:val="both"/>
        <w:rPr>
          <w:rFonts w:ascii="Trebuchet MS" w:eastAsia="Times New Roman" w:hAnsi="Trebuchet MS" w:cs="Arial"/>
          <w:b/>
          <w:color w:val="000000"/>
          <w:sz w:val="23"/>
          <w:szCs w:val="23"/>
          <w:lang w:eastAsia="ar-SA"/>
        </w:rPr>
      </w:pPr>
    </w:p>
    <w:p w:rsidR="00D721E3" w:rsidRPr="008E1E1A" w:rsidRDefault="00FD4F76" w:rsidP="00AC239C">
      <w:pPr>
        <w:shd w:val="clear" w:color="auto" w:fill="FFFFFF"/>
        <w:spacing w:after="0"/>
        <w:jc w:val="both"/>
        <w:rPr>
          <w:rFonts w:ascii="Trebuchet MS" w:eastAsia="Times New Roman" w:hAnsi="Trebuchet MS" w:cs="Arial"/>
          <w:sz w:val="23"/>
          <w:szCs w:val="23"/>
          <w:lang w:eastAsia="es-ES"/>
        </w:rPr>
      </w:pPr>
      <w:r w:rsidRPr="008E1E1A">
        <w:rPr>
          <w:rFonts w:ascii="Trebuchet MS" w:eastAsia="Times New Roman" w:hAnsi="Trebuchet MS" w:cs="Arial"/>
          <w:b/>
          <w:sz w:val="23"/>
          <w:szCs w:val="23"/>
          <w:lang w:eastAsia="es-ES"/>
        </w:rPr>
        <w:t>5</w:t>
      </w:r>
      <w:r w:rsidR="00D721E3" w:rsidRPr="008E1E1A">
        <w:rPr>
          <w:rFonts w:ascii="Trebuchet MS" w:eastAsia="Times New Roman" w:hAnsi="Trebuchet MS" w:cs="Arial"/>
          <w:b/>
          <w:sz w:val="23"/>
          <w:szCs w:val="23"/>
          <w:lang w:eastAsia="es-ES"/>
        </w:rPr>
        <w:t xml:space="preserve">. RESOLUCIÓN DEL </w:t>
      </w:r>
      <w:r w:rsidR="00A81118" w:rsidRPr="008E1E1A">
        <w:rPr>
          <w:rFonts w:ascii="Trebuchet MS" w:eastAsia="Times New Roman" w:hAnsi="Trebuchet MS" w:cs="Arial"/>
          <w:b/>
          <w:sz w:val="23"/>
          <w:szCs w:val="23"/>
          <w:lang w:eastAsia="es-ES"/>
        </w:rPr>
        <w:t>RECURSO DE APELACIÓN RAP-056/2021 Y ACUMULADOS</w:t>
      </w:r>
      <w:r w:rsidR="00D721E3" w:rsidRPr="008E1E1A">
        <w:rPr>
          <w:rFonts w:ascii="Trebuchet MS" w:hAnsi="Trebuchet MS" w:cs="Arial"/>
          <w:b/>
          <w:sz w:val="23"/>
          <w:szCs w:val="23"/>
        </w:rPr>
        <w:t>.</w:t>
      </w:r>
      <w:r w:rsidR="00D721E3" w:rsidRPr="008E1E1A">
        <w:rPr>
          <w:rFonts w:ascii="Trebuchet MS" w:eastAsia="Times New Roman" w:hAnsi="Trebuchet MS" w:cs="Arial"/>
          <w:b/>
          <w:sz w:val="23"/>
          <w:szCs w:val="23"/>
          <w:lang w:eastAsia="es-ES"/>
        </w:rPr>
        <w:t xml:space="preserve"> </w:t>
      </w:r>
      <w:r w:rsidR="003C54A9" w:rsidRPr="008E1E1A">
        <w:rPr>
          <w:rFonts w:ascii="Trebuchet MS" w:eastAsia="Times New Roman" w:hAnsi="Trebuchet MS" w:cs="Arial"/>
          <w:sz w:val="23"/>
          <w:szCs w:val="23"/>
          <w:lang w:eastAsia="es-ES"/>
        </w:rPr>
        <w:t xml:space="preserve">El </w:t>
      </w:r>
      <w:r w:rsidR="001D055B" w:rsidRPr="008E1E1A">
        <w:rPr>
          <w:rFonts w:ascii="Trebuchet MS" w:eastAsia="Times New Roman" w:hAnsi="Trebuchet MS" w:cs="Arial"/>
          <w:sz w:val="23"/>
          <w:szCs w:val="23"/>
          <w:lang w:eastAsia="es-ES"/>
        </w:rPr>
        <w:t>veinticinco de marzo</w:t>
      </w:r>
      <w:r w:rsidR="00D721E3" w:rsidRPr="008E1E1A">
        <w:rPr>
          <w:rFonts w:ascii="Trebuchet MS" w:eastAsia="Times New Roman" w:hAnsi="Trebuchet MS" w:cs="Arial"/>
          <w:sz w:val="23"/>
          <w:szCs w:val="23"/>
          <w:lang w:eastAsia="es-ES"/>
        </w:rPr>
        <w:t xml:space="preserve"> se recibió en este Instituto la sentencia emitida</w:t>
      </w:r>
      <w:r w:rsidR="003C54A9" w:rsidRPr="008E1E1A">
        <w:rPr>
          <w:rFonts w:ascii="Trebuchet MS" w:eastAsia="Times New Roman" w:hAnsi="Trebuchet MS" w:cs="Arial"/>
          <w:sz w:val="23"/>
          <w:szCs w:val="23"/>
          <w:lang w:eastAsia="es-ES"/>
        </w:rPr>
        <w:t xml:space="preserve"> </w:t>
      </w:r>
      <w:r w:rsidR="001D055B" w:rsidRPr="008E1E1A">
        <w:rPr>
          <w:rFonts w:ascii="Trebuchet MS" w:eastAsia="Times New Roman" w:hAnsi="Trebuchet MS" w:cs="Arial"/>
          <w:sz w:val="23"/>
          <w:szCs w:val="23"/>
          <w:lang w:eastAsia="es-ES"/>
        </w:rPr>
        <w:t>el día anterior</w:t>
      </w:r>
      <w:r w:rsidR="00D721E3" w:rsidRPr="008E1E1A">
        <w:rPr>
          <w:rFonts w:ascii="Trebuchet MS" w:eastAsia="Times New Roman" w:hAnsi="Trebuchet MS" w:cs="Arial"/>
          <w:sz w:val="23"/>
          <w:szCs w:val="23"/>
          <w:lang w:eastAsia="es-ES"/>
        </w:rPr>
        <w:t xml:space="preserve">, por el Tribunal Electoral del Estado de Jalisco, en el </w:t>
      </w:r>
      <w:r w:rsidR="001D055B" w:rsidRPr="008E1E1A">
        <w:rPr>
          <w:rFonts w:ascii="Trebuchet MS" w:eastAsia="Times New Roman" w:hAnsi="Trebuchet MS" w:cs="Arial"/>
          <w:sz w:val="23"/>
          <w:szCs w:val="23"/>
          <w:lang w:eastAsia="es-ES"/>
        </w:rPr>
        <w:t>recurso de apelación RAP-056/2021 y acumulados</w:t>
      </w:r>
      <w:r w:rsidR="00D721E3" w:rsidRPr="008E1E1A">
        <w:rPr>
          <w:rFonts w:ascii="Trebuchet MS" w:eastAsia="Times New Roman" w:hAnsi="Trebuchet MS" w:cs="Arial"/>
          <w:sz w:val="23"/>
          <w:szCs w:val="23"/>
          <w:lang w:eastAsia="es-ES"/>
        </w:rPr>
        <w:t>,</w:t>
      </w:r>
      <w:r w:rsidR="00496F58" w:rsidRPr="008E1E1A">
        <w:rPr>
          <w:rFonts w:ascii="Trebuchet MS" w:eastAsia="Times New Roman" w:hAnsi="Trebuchet MS" w:cs="Arial"/>
          <w:sz w:val="23"/>
          <w:szCs w:val="23"/>
          <w:lang w:eastAsia="es-ES"/>
        </w:rPr>
        <w:t xml:space="preserve"> a</w:t>
      </w:r>
      <w:r w:rsidR="00D721E3" w:rsidRPr="008E1E1A">
        <w:rPr>
          <w:rFonts w:ascii="Trebuchet MS" w:eastAsia="Times New Roman" w:hAnsi="Trebuchet MS" w:cs="Arial"/>
          <w:sz w:val="23"/>
          <w:szCs w:val="23"/>
          <w:lang w:eastAsia="es-ES"/>
        </w:rPr>
        <w:t>l que correspondi</w:t>
      </w:r>
      <w:r w:rsidR="007B7D12" w:rsidRPr="008E1E1A">
        <w:rPr>
          <w:rFonts w:ascii="Trebuchet MS" w:eastAsia="Times New Roman" w:hAnsi="Trebuchet MS" w:cs="Arial"/>
          <w:sz w:val="23"/>
          <w:szCs w:val="23"/>
          <w:lang w:eastAsia="es-ES"/>
        </w:rPr>
        <w:t xml:space="preserve">ó el folio </w:t>
      </w:r>
      <w:r w:rsidR="001D055B" w:rsidRPr="008E1E1A">
        <w:rPr>
          <w:rFonts w:ascii="Trebuchet MS" w:eastAsia="Times New Roman" w:hAnsi="Trebuchet MS" w:cs="Arial"/>
          <w:sz w:val="23"/>
          <w:szCs w:val="23"/>
          <w:lang w:eastAsia="es-ES"/>
        </w:rPr>
        <w:t>00408</w:t>
      </w:r>
      <w:r w:rsidR="007B7D12" w:rsidRPr="008E1E1A">
        <w:rPr>
          <w:rFonts w:ascii="Trebuchet MS" w:eastAsia="Times New Roman" w:hAnsi="Trebuchet MS" w:cs="Arial"/>
          <w:sz w:val="23"/>
          <w:szCs w:val="23"/>
          <w:lang w:eastAsia="es-ES"/>
        </w:rPr>
        <w:t xml:space="preserve">, </w:t>
      </w:r>
      <w:r w:rsidR="004902B2" w:rsidRPr="008E1E1A">
        <w:rPr>
          <w:rFonts w:ascii="Trebuchet MS" w:eastAsia="Times New Roman" w:hAnsi="Trebuchet MS" w:cs="Arial"/>
          <w:sz w:val="23"/>
          <w:szCs w:val="23"/>
          <w:lang w:eastAsia="es-ES"/>
        </w:rPr>
        <w:t>ordenando a este Consejo G</w:t>
      </w:r>
      <w:r w:rsidR="007B7D12" w:rsidRPr="008E1E1A">
        <w:rPr>
          <w:rFonts w:ascii="Trebuchet MS" w:eastAsia="Times New Roman" w:hAnsi="Trebuchet MS" w:cs="Arial"/>
          <w:sz w:val="23"/>
          <w:szCs w:val="23"/>
          <w:lang w:eastAsia="es-ES"/>
        </w:rPr>
        <w:t>eneral</w:t>
      </w:r>
      <w:r w:rsidR="009253AE" w:rsidRPr="008E1E1A">
        <w:rPr>
          <w:rFonts w:ascii="Trebuchet MS" w:eastAsia="Times New Roman" w:hAnsi="Trebuchet MS" w:cs="Arial"/>
          <w:sz w:val="23"/>
          <w:szCs w:val="23"/>
          <w:lang w:eastAsia="es-ES"/>
        </w:rPr>
        <w:t xml:space="preserve"> revocar, en lo que fue materia de impugnación, </w:t>
      </w:r>
      <w:r w:rsidR="007B7D12" w:rsidRPr="008E1E1A">
        <w:rPr>
          <w:rFonts w:ascii="Trebuchet MS" w:eastAsia="Times New Roman" w:hAnsi="Trebuchet MS" w:cs="Arial"/>
          <w:sz w:val="23"/>
          <w:szCs w:val="23"/>
          <w:lang w:eastAsia="es-ES"/>
        </w:rPr>
        <w:t xml:space="preserve">el acuerdo </w:t>
      </w:r>
      <w:r w:rsidR="004902B2" w:rsidRPr="008E1E1A">
        <w:rPr>
          <w:rFonts w:ascii="Trebuchet MS" w:eastAsia="Times New Roman" w:hAnsi="Trebuchet MS" w:cs="Arial"/>
          <w:sz w:val="23"/>
          <w:szCs w:val="23"/>
          <w:lang w:eastAsia="es-ES"/>
        </w:rPr>
        <w:t>IEPC-ACG-</w:t>
      </w:r>
      <w:r w:rsidR="009253AE" w:rsidRPr="008E1E1A">
        <w:rPr>
          <w:rFonts w:ascii="Trebuchet MS" w:eastAsia="Times New Roman" w:hAnsi="Trebuchet MS" w:cs="Arial"/>
          <w:sz w:val="23"/>
          <w:szCs w:val="23"/>
          <w:lang w:eastAsia="es-ES"/>
        </w:rPr>
        <w:t>398</w:t>
      </w:r>
      <w:r w:rsidR="004902B2" w:rsidRPr="008E1E1A">
        <w:rPr>
          <w:rFonts w:ascii="Trebuchet MS" w:eastAsia="Times New Roman" w:hAnsi="Trebuchet MS" w:cs="Arial"/>
          <w:sz w:val="23"/>
          <w:szCs w:val="23"/>
          <w:lang w:eastAsia="es-ES"/>
        </w:rPr>
        <w:t>/2021</w:t>
      </w:r>
      <w:r w:rsidR="003C54A9" w:rsidRPr="008E1E1A">
        <w:rPr>
          <w:rFonts w:ascii="Trebuchet MS" w:eastAsia="Times New Roman" w:hAnsi="Trebuchet MS" w:cs="Arial"/>
          <w:sz w:val="23"/>
          <w:szCs w:val="23"/>
          <w:lang w:eastAsia="es-ES"/>
        </w:rPr>
        <w:t>.</w:t>
      </w:r>
    </w:p>
    <w:p w:rsidR="00D077CD" w:rsidRPr="008E1E1A" w:rsidRDefault="00D077CD" w:rsidP="00AC239C">
      <w:pPr>
        <w:shd w:val="clear" w:color="auto" w:fill="FFFFFF"/>
        <w:spacing w:after="0"/>
        <w:jc w:val="both"/>
        <w:rPr>
          <w:rFonts w:ascii="Trebuchet MS" w:eastAsia="Times New Roman" w:hAnsi="Trebuchet MS" w:cs="Arial"/>
          <w:sz w:val="23"/>
          <w:szCs w:val="23"/>
          <w:lang w:eastAsia="es-ES"/>
        </w:rPr>
      </w:pPr>
    </w:p>
    <w:p w:rsidR="0055556A" w:rsidRPr="008E1E1A" w:rsidRDefault="0055556A" w:rsidP="00AC239C">
      <w:pPr>
        <w:keepNext/>
        <w:suppressAutoHyphens/>
        <w:spacing w:after="0"/>
        <w:jc w:val="center"/>
        <w:outlineLvl w:val="4"/>
        <w:rPr>
          <w:rFonts w:ascii="Trebuchet MS" w:eastAsia="Times New Roman" w:hAnsi="Trebuchet MS" w:cs="Arial"/>
          <w:b/>
          <w:kern w:val="1"/>
          <w:sz w:val="23"/>
          <w:szCs w:val="23"/>
          <w:lang w:val="pt-BR" w:eastAsia="ar-SA"/>
        </w:rPr>
      </w:pPr>
      <w:r w:rsidRPr="008E1E1A">
        <w:rPr>
          <w:rFonts w:ascii="Trebuchet MS" w:eastAsia="Times New Roman" w:hAnsi="Trebuchet MS" w:cs="Arial"/>
          <w:b/>
          <w:kern w:val="1"/>
          <w:sz w:val="23"/>
          <w:szCs w:val="23"/>
          <w:lang w:val="pt-BR" w:eastAsia="ar-SA"/>
        </w:rPr>
        <w:t>C O N S I D E R A N D O</w:t>
      </w:r>
    </w:p>
    <w:p w:rsidR="0055556A" w:rsidRPr="008E1E1A" w:rsidRDefault="0055556A" w:rsidP="00AC239C">
      <w:pPr>
        <w:autoSpaceDE w:val="0"/>
        <w:autoSpaceDN w:val="0"/>
        <w:adjustRightInd w:val="0"/>
        <w:spacing w:after="0"/>
        <w:jc w:val="both"/>
        <w:rPr>
          <w:rFonts w:ascii="Trebuchet MS" w:hAnsi="Trebuchet MS" w:cs="Arial"/>
          <w:color w:val="040405"/>
          <w:sz w:val="23"/>
          <w:szCs w:val="23"/>
          <w:lang w:val="pt-BR"/>
        </w:rPr>
      </w:pPr>
    </w:p>
    <w:p w:rsidR="00E43AAD" w:rsidRPr="008E1E1A" w:rsidRDefault="00E43AAD" w:rsidP="00AC239C">
      <w:pPr>
        <w:spacing w:after="0"/>
        <w:jc w:val="both"/>
        <w:rPr>
          <w:rFonts w:ascii="Trebuchet MS" w:eastAsia="Calibri" w:hAnsi="Trebuchet MS" w:cs="Arial"/>
          <w:sz w:val="23"/>
          <w:szCs w:val="23"/>
        </w:rPr>
      </w:pPr>
      <w:r w:rsidRPr="008E1E1A">
        <w:rPr>
          <w:rFonts w:ascii="Trebuchet MS" w:eastAsia="Calibri" w:hAnsi="Trebuchet MS" w:cs="Arial"/>
          <w:b/>
          <w:sz w:val="23"/>
          <w:szCs w:val="23"/>
        </w:rPr>
        <w:t xml:space="preserve">I. DEL INSTITUTO ELECTORAL Y DE PARTICIPACIÓN CIUDADANA DEL ESTADO DE JALISCO. </w:t>
      </w:r>
      <w:r w:rsidRPr="008E1E1A">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8E1E1A" w:rsidRDefault="000477DF" w:rsidP="00AC239C">
      <w:pPr>
        <w:spacing w:after="0"/>
        <w:jc w:val="both"/>
        <w:rPr>
          <w:rFonts w:ascii="Trebuchet MS" w:hAnsi="Trebuchet MS" w:cs="Arial"/>
          <w:b/>
          <w:bCs/>
          <w:sz w:val="23"/>
          <w:szCs w:val="23"/>
        </w:rPr>
      </w:pPr>
    </w:p>
    <w:p w:rsidR="00C62EA4" w:rsidRPr="008E1E1A" w:rsidRDefault="00E43AAD" w:rsidP="00AC239C">
      <w:pPr>
        <w:pStyle w:val="Sinespaciado"/>
        <w:spacing w:line="276" w:lineRule="auto"/>
        <w:jc w:val="both"/>
        <w:rPr>
          <w:rFonts w:ascii="Trebuchet MS" w:hAnsi="Trebuchet MS" w:cs="Arial"/>
          <w:color w:val="000000"/>
          <w:sz w:val="23"/>
          <w:szCs w:val="23"/>
          <w:lang w:val="es-ES_tradnl"/>
        </w:rPr>
      </w:pPr>
      <w:r w:rsidRPr="008E1E1A">
        <w:rPr>
          <w:rFonts w:ascii="Trebuchet MS" w:hAnsi="Trebuchet MS" w:cs="Arial"/>
          <w:b/>
          <w:bCs/>
          <w:sz w:val="23"/>
          <w:szCs w:val="23"/>
        </w:rPr>
        <w:t>II.</w:t>
      </w:r>
      <w:r w:rsidRPr="008E1E1A">
        <w:rPr>
          <w:rFonts w:ascii="Trebuchet MS" w:hAnsi="Trebuchet MS" w:cs="Arial"/>
          <w:bCs/>
          <w:sz w:val="23"/>
          <w:szCs w:val="23"/>
        </w:rPr>
        <w:t xml:space="preserve"> </w:t>
      </w:r>
      <w:r w:rsidRPr="008E1E1A">
        <w:rPr>
          <w:rFonts w:ascii="Trebuchet MS" w:hAnsi="Trebuchet MS" w:cs="Arial"/>
          <w:b/>
          <w:bCs/>
          <w:sz w:val="23"/>
          <w:szCs w:val="23"/>
        </w:rPr>
        <w:t xml:space="preserve">DEL CONSEJO GENERAL. </w:t>
      </w:r>
      <w:r w:rsidRPr="008E1E1A">
        <w:rPr>
          <w:rFonts w:ascii="Trebuchet MS" w:hAnsi="Trebuchet MS" w:cs="Arial"/>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sidRPr="008E1E1A">
        <w:rPr>
          <w:rFonts w:ascii="Trebuchet MS" w:hAnsi="Trebuchet MS" w:cs="Arial"/>
          <w:sz w:val="23"/>
          <w:szCs w:val="23"/>
        </w:rPr>
        <w:t xml:space="preserve">ctividades; que dentro de sus </w:t>
      </w:r>
      <w:r w:rsidRPr="008E1E1A">
        <w:rPr>
          <w:rFonts w:ascii="Trebuchet MS" w:hAnsi="Trebuchet MS" w:cs="Arial"/>
          <w:bCs/>
          <w:sz w:val="23"/>
          <w:szCs w:val="23"/>
          <w:lang w:val="es-ES_tradnl"/>
        </w:rPr>
        <w:t xml:space="preserve">atribuciones se encuentran: </w:t>
      </w:r>
      <w:r w:rsidRPr="008E1E1A">
        <w:rPr>
          <w:rFonts w:ascii="Trebuchet MS" w:eastAsia="Times New Roman" w:hAnsi="Trebuchet MS" w:cs="Arial"/>
          <w:color w:val="000000"/>
          <w:sz w:val="23"/>
          <w:szCs w:val="23"/>
        </w:rPr>
        <w:t xml:space="preserve">dictar los acuerdos necesarios para hacer efectivas sus atribuciones; vigilar el cumplimiento de la legislación electoral y las disposiciones que con base en ella se dicten; </w:t>
      </w:r>
      <w:r w:rsidR="00C62EA4" w:rsidRPr="008E1E1A">
        <w:rPr>
          <w:rFonts w:ascii="Trebuchet MS" w:hAnsi="Trebuchet MS" w:cs="Arial"/>
          <w:color w:val="000000"/>
          <w:sz w:val="23"/>
          <w:szCs w:val="23"/>
          <w:lang w:val="es-ES_tradnl"/>
        </w:rPr>
        <w:t xml:space="preserve">así como determinar, con base en la Constitución Política del Estado, las leyes aplicables y el Código Electoral el monto de financiamiento público que corresponda a los partidos políticos, de conformidad con lo dispuesto por los artículos 12, Bases I y IV de la Constitución Política del Estado de Jalisco; 120 y 134, </w:t>
      </w:r>
      <w:r w:rsidR="00C62EA4" w:rsidRPr="008E1E1A">
        <w:rPr>
          <w:rFonts w:ascii="Trebuchet MS" w:hAnsi="Trebuchet MS" w:cs="Arial"/>
          <w:color w:val="000000"/>
          <w:sz w:val="23"/>
          <w:szCs w:val="23"/>
          <w:lang w:val="es-ES_tradnl"/>
        </w:rPr>
        <w:lastRenderedPageBreak/>
        <w:t>párrafo 1, fracciones VIII, IX y XXXVI, LI y LII en relación con el numeral 143, párrafo 2, fracciones I, II, XI, XII y XXX del Código Electoral local.</w:t>
      </w:r>
    </w:p>
    <w:p w:rsidR="00C62EA4" w:rsidRPr="008E1E1A" w:rsidRDefault="00C62EA4" w:rsidP="00AC239C">
      <w:pPr>
        <w:spacing w:after="0"/>
        <w:jc w:val="both"/>
        <w:rPr>
          <w:rFonts w:ascii="Trebuchet MS" w:eastAsia="Times New Roman" w:hAnsi="Trebuchet MS" w:cs="Arial"/>
          <w:color w:val="000000"/>
          <w:sz w:val="23"/>
          <w:szCs w:val="23"/>
        </w:rPr>
      </w:pPr>
    </w:p>
    <w:p w:rsidR="00DF4CEE" w:rsidRPr="008E1E1A" w:rsidRDefault="00F3578E" w:rsidP="00AC239C">
      <w:pPr>
        <w:autoSpaceDE w:val="0"/>
        <w:autoSpaceDN w:val="0"/>
        <w:adjustRightInd w:val="0"/>
        <w:spacing w:after="0"/>
        <w:jc w:val="both"/>
        <w:rPr>
          <w:rFonts w:ascii="Trebuchet MS" w:eastAsia="Times New Roman" w:hAnsi="Trebuchet MS" w:cs="Arial"/>
          <w:color w:val="000000"/>
          <w:sz w:val="23"/>
          <w:szCs w:val="23"/>
          <w:lang w:eastAsia="ar-SA"/>
        </w:rPr>
      </w:pPr>
      <w:r w:rsidRPr="008E1E1A">
        <w:rPr>
          <w:rFonts w:ascii="Trebuchet MS" w:eastAsia="Calibri" w:hAnsi="Trebuchet MS" w:cs="Arial"/>
          <w:b/>
          <w:sz w:val="23"/>
          <w:szCs w:val="23"/>
          <w:lang w:eastAsia="ar-SA"/>
        </w:rPr>
        <w:t>III</w:t>
      </w:r>
      <w:r w:rsidR="005D7D09" w:rsidRPr="008E1E1A">
        <w:rPr>
          <w:rFonts w:ascii="Trebuchet MS" w:eastAsia="Calibri" w:hAnsi="Trebuchet MS" w:cs="Arial"/>
          <w:b/>
          <w:sz w:val="23"/>
          <w:szCs w:val="23"/>
          <w:lang w:eastAsia="ar-SA"/>
        </w:rPr>
        <w:t xml:space="preserve">. DEL </w:t>
      </w:r>
      <w:r w:rsidR="005D7D09" w:rsidRPr="008E1E1A">
        <w:rPr>
          <w:rFonts w:ascii="Trebuchet MS" w:eastAsia="Garamond" w:hAnsi="Trebuchet MS" w:cs="Arial"/>
          <w:b/>
          <w:sz w:val="23"/>
          <w:szCs w:val="23"/>
        </w:rPr>
        <w:t xml:space="preserve">ACUERDO </w:t>
      </w:r>
      <w:r w:rsidR="00DF4CEE" w:rsidRPr="008E1E1A">
        <w:rPr>
          <w:rFonts w:ascii="Trebuchet MS" w:hAnsi="Trebuchet MS" w:cs="Arial"/>
          <w:b/>
          <w:color w:val="030304"/>
          <w:sz w:val="23"/>
          <w:szCs w:val="23"/>
        </w:rPr>
        <w:t>POR EL QUE SE ESTABLECIERON LOS MONTOS DE FINANCIAMIENTO PÚBLICO LOCAL QUE CORRESPONDEN A LOS PARTIDOS POLÍTICOS NACIONALES CON ACREDITACIÓN EN LA ENTIDAD FEDERATIVA, ASÍ COMO A LOS PARTIDOS POLÍTICOS ESTATALES PARA EL EJERCICIO FISCAL DOS MIL VEINTIDÓS.</w:t>
      </w:r>
      <w:r w:rsidR="005D7D09" w:rsidRPr="008E1E1A">
        <w:rPr>
          <w:rFonts w:ascii="Trebuchet MS" w:eastAsia="Garamond" w:hAnsi="Trebuchet MS" w:cs="Arial"/>
          <w:b/>
          <w:sz w:val="23"/>
          <w:szCs w:val="23"/>
        </w:rPr>
        <w:t xml:space="preserve"> </w:t>
      </w:r>
      <w:r w:rsidR="00C65187" w:rsidRPr="008E1E1A">
        <w:rPr>
          <w:rFonts w:ascii="Trebuchet MS" w:eastAsia="Times New Roman" w:hAnsi="Trebuchet MS" w:cs="Arial"/>
          <w:color w:val="000000"/>
          <w:sz w:val="23"/>
          <w:szCs w:val="23"/>
          <w:lang w:eastAsia="ar-SA"/>
        </w:rPr>
        <w:t xml:space="preserve">Que tal como se </w:t>
      </w:r>
      <w:r w:rsidR="007A0C76" w:rsidRPr="008E1E1A">
        <w:rPr>
          <w:rFonts w:ascii="Trebuchet MS" w:eastAsia="Times New Roman" w:hAnsi="Trebuchet MS" w:cs="Arial"/>
          <w:color w:val="000000"/>
          <w:sz w:val="23"/>
          <w:szCs w:val="23"/>
          <w:lang w:eastAsia="ar-SA"/>
        </w:rPr>
        <w:t>refirió</w:t>
      </w:r>
      <w:r w:rsidR="00C65187" w:rsidRPr="008E1E1A">
        <w:rPr>
          <w:rFonts w:ascii="Trebuchet MS" w:eastAsia="Times New Roman" w:hAnsi="Trebuchet MS" w:cs="Arial"/>
          <w:color w:val="000000"/>
          <w:sz w:val="23"/>
          <w:szCs w:val="23"/>
          <w:lang w:eastAsia="ar-SA"/>
        </w:rPr>
        <w:t xml:space="preserve"> en el antecedente </w:t>
      </w:r>
      <w:r w:rsidR="00DF4CEE" w:rsidRPr="008E1E1A">
        <w:rPr>
          <w:rFonts w:ascii="Trebuchet MS" w:eastAsia="Times New Roman" w:hAnsi="Trebuchet MS" w:cs="Arial"/>
          <w:color w:val="000000"/>
          <w:sz w:val="23"/>
          <w:szCs w:val="23"/>
          <w:lang w:eastAsia="ar-SA"/>
        </w:rPr>
        <w:t>2</w:t>
      </w:r>
      <w:r w:rsidR="00C65187" w:rsidRPr="008E1E1A">
        <w:rPr>
          <w:rFonts w:ascii="Trebuchet MS" w:eastAsia="Times New Roman" w:hAnsi="Trebuchet MS" w:cs="Arial"/>
          <w:color w:val="000000"/>
          <w:sz w:val="23"/>
          <w:szCs w:val="23"/>
          <w:lang w:eastAsia="ar-SA"/>
        </w:rPr>
        <w:t xml:space="preserve"> de este acuerdo, </w:t>
      </w:r>
      <w:r w:rsidR="00DF4CEE" w:rsidRPr="008E1E1A">
        <w:rPr>
          <w:rFonts w:ascii="Trebuchet MS" w:eastAsia="Times New Roman" w:hAnsi="Trebuchet MS" w:cs="Arial"/>
          <w:color w:val="000000"/>
          <w:sz w:val="23"/>
          <w:szCs w:val="23"/>
          <w:lang w:eastAsia="ar-SA"/>
        </w:rPr>
        <w:t xml:space="preserve">el veinte de diciembre de dos mil veintiuno, </w:t>
      </w:r>
      <w:r w:rsidR="005D7D09" w:rsidRPr="008E1E1A">
        <w:rPr>
          <w:rFonts w:ascii="Trebuchet MS" w:eastAsia="Times New Roman" w:hAnsi="Trebuchet MS" w:cs="Arial"/>
          <w:color w:val="000000"/>
          <w:sz w:val="23"/>
          <w:szCs w:val="23"/>
          <w:lang w:eastAsia="ar-SA"/>
        </w:rPr>
        <w:t>el Consejo General de este Instituto, mediante acuerdo IEPC-ACG-</w:t>
      </w:r>
      <w:r w:rsidR="00DF4CEE" w:rsidRPr="008E1E1A">
        <w:rPr>
          <w:rFonts w:ascii="Trebuchet MS" w:eastAsia="Times New Roman" w:hAnsi="Trebuchet MS" w:cs="Arial"/>
          <w:color w:val="000000"/>
          <w:sz w:val="23"/>
          <w:szCs w:val="23"/>
          <w:lang w:eastAsia="ar-SA"/>
        </w:rPr>
        <w:t>398</w:t>
      </w:r>
      <w:r w:rsidR="005D7D09" w:rsidRPr="008E1E1A">
        <w:rPr>
          <w:rFonts w:ascii="Trebuchet MS" w:eastAsia="Times New Roman" w:hAnsi="Trebuchet MS" w:cs="Arial"/>
          <w:color w:val="000000"/>
          <w:sz w:val="23"/>
          <w:szCs w:val="23"/>
          <w:lang w:eastAsia="ar-SA"/>
        </w:rPr>
        <w:t xml:space="preserve">/2021, </w:t>
      </w:r>
      <w:r w:rsidR="00DF4CEE" w:rsidRPr="008E1E1A">
        <w:rPr>
          <w:rFonts w:ascii="Trebuchet MS" w:eastAsia="Times New Roman" w:hAnsi="Trebuchet MS" w:cs="Arial"/>
          <w:color w:val="000000"/>
          <w:sz w:val="23"/>
          <w:szCs w:val="23"/>
          <w:lang w:eastAsia="ar-SA"/>
        </w:rPr>
        <w:t xml:space="preserve">estableció los montos de financiamiento </w:t>
      </w:r>
      <w:r w:rsidR="00DF4CEE" w:rsidRPr="008E1E1A">
        <w:rPr>
          <w:rFonts w:ascii="Trebuchet MS" w:hAnsi="Trebuchet MS" w:cs="Arial"/>
          <w:color w:val="030304"/>
          <w:sz w:val="23"/>
          <w:szCs w:val="23"/>
        </w:rPr>
        <w:t>público local que corresponden a los partidos políticos nacionales con acreditación en la entidad federativa, así como a los partidos políticos estatales para el ejercicio fiscal dos mil veintidós.</w:t>
      </w:r>
    </w:p>
    <w:p w:rsidR="005D7D09" w:rsidRPr="008E1E1A" w:rsidRDefault="005D7D09" w:rsidP="00AC239C">
      <w:pPr>
        <w:suppressAutoHyphens/>
        <w:autoSpaceDE w:val="0"/>
        <w:spacing w:after="0"/>
        <w:jc w:val="both"/>
        <w:rPr>
          <w:rFonts w:ascii="Trebuchet MS" w:eastAsia="Calibri" w:hAnsi="Trebuchet MS" w:cs="Arial"/>
          <w:sz w:val="23"/>
          <w:szCs w:val="23"/>
          <w:lang w:eastAsia="ar-SA"/>
        </w:rPr>
      </w:pPr>
    </w:p>
    <w:p w:rsidR="00CC61B6" w:rsidRPr="008E1E1A" w:rsidRDefault="00CC61B6" w:rsidP="00AC239C">
      <w:pPr>
        <w:shd w:val="clear" w:color="auto" w:fill="FFFFFF" w:themeFill="background1"/>
        <w:suppressAutoHyphens/>
        <w:autoSpaceDE w:val="0"/>
        <w:spacing w:after="0"/>
        <w:jc w:val="both"/>
        <w:rPr>
          <w:rFonts w:ascii="Trebuchet MS" w:eastAsia="Times New Roman" w:hAnsi="Trebuchet MS" w:cs="Arial"/>
          <w:color w:val="000000"/>
          <w:sz w:val="23"/>
          <w:szCs w:val="23"/>
          <w:lang w:eastAsia="ar-SA"/>
        </w:rPr>
      </w:pPr>
      <w:r w:rsidRPr="008E1E1A">
        <w:rPr>
          <w:rFonts w:ascii="Trebuchet MS" w:eastAsia="Times New Roman" w:hAnsi="Trebuchet MS" w:cs="Arial"/>
          <w:b/>
          <w:sz w:val="23"/>
          <w:szCs w:val="23"/>
          <w:lang w:eastAsia="es-ES"/>
        </w:rPr>
        <w:t>I</w:t>
      </w:r>
      <w:r w:rsidR="005D7D09" w:rsidRPr="008E1E1A">
        <w:rPr>
          <w:rFonts w:ascii="Trebuchet MS" w:eastAsia="Times New Roman" w:hAnsi="Trebuchet MS" w:cs="Arial"/>
          <w:b/>
          <w:sz w:val="23"/>
          <w:szCs w:val="23"/>
          <w:lang w:eastAsia="es-ES"/>
        </w:rPr>
        <w:t xml:space="preserve">V. </w:t>
      </w:r>
      <w:r w:rsidR="006D545E" w:rsidRPr="008E1E1A">
        <w:rPr>
          <w:rFonts w:ascii="Trebuchet MS" w:eastAsia="Times New Roman" w:hAnsi="Trebuchet MS" w:cs="Arial"/>
          <w:b/>
          <w:sz w:val="23"/>
          <w:szCs w:val="23"/>
          <w:lang w:eastAsia="es-ES"/>
        </w:rPr>
        <w:t>DE</w:t>
      </w:r>
      <w:r w:rsidRPr="008E1E1A">
        <w:rPr>
          <w:rFonts w:ascii="Trebuchet MS" w:eastAsia="Times New Roman" w:hAnsi="Trebuchet MS" w:cs="Arial"/>
          <w:b/>
          <w:sz w:val="23"/>
          <w:szCs w:val="23"/>
          <w:lang w:eastAsia="es-ES"/>
        </w:rPr>
        <w:t xml:space="preserve"> LOS RECURSOS DE APELACIÓN Y SU ACUMULACIÓN</w:t>
      </w:r>
      <w:r w:rsidR="00F73675" w:rsidRPr="008E1E1A">
        <w:rPr>
          <w:rFonts w:ascii="Trebuchet MS" w:hAnsi="Trebuchet MS" w:cs="Arial"/>
          <w:b/>
          <w:sz w:val="23"/>
          <w:szCs w:val="23"/>
        </w:rPr>
        <w:t xml:space="preserve">. </w:t>
      </w:r>
      <w:r w:rsidR="006D545E" w:rsidRPr="008E1E1A">
        <w:rPr>
          <w:rFonts w:ascii="Trebuchet MS" w:eastAsia="Times New Roman" w:hAnsi="Trebuchet MS" w:cs="Arial"/>
          <w:sz w:val="23"/>
          <w:szCs w:val="23"/>
          <w:lang w:eastAsia="es-ES"/>
        </w:rPr>
        <w:t xml:space="preserve">Que tal como se </w:t>
      </w:r>
      <w:r w:rsidR="00613527" w:rsidRPr="008E1E1A">
        <w:rPr>
          <w:rFonts w:ascii="Trebuchet MS" w:eastAsia="Times New Roman" w:hAnsi="Trebuchet MS" w:cs="Arial"/>
          <w:sz w:val="23"/>
          <w:szCs w:val="23"/>
          <w:lang w:eastAsia="es-ES"/>
        </w:rPr>
        <w:t>mencionó</w:t>
      </w:r>
      <w:r w:rsidR="006D545E" w:rsidRPr="008E1E1A">
        <w:rPr>
          <w:rFonts w:ascii="Trebuchet MS" w:eastAsia="Times New Roman" w:hAnsi="Trebuchet MS" w:cs="Arial"/>
          <w:sz w:val="23"/>
          <w:szCs w:val="23"/>
          <w:lang w:eastAsia="es-ES"/>
        </w:rPr>
        <w:t xml:space="preserve"> en </w:t>
      </w:r>
      <w:r w:rsidRPr="008E1E1A">
        <w:rPr>
          <w:rFonts w:ascii="Trebuchet MS" w:eastAsia="Times New Roman" w:hAnsi="Trebuchet MS" w:cs="Arial"/>
          <w:sz w:val="23"/>
          <w:szCs w:val="23"/>
          <w:lang w:eastAsia="es-ES"/>
        </w:rPr>
        <w:t>los</w:t>
      </w:r>
      <w:r w:rsidR="001D3338" w:rsidRPr="008E1E1A">
        <w:rPr>
          <w:rFonts w:ascii="Trebuchet MS" w:eastAsia="Times New Roman" w:hAnsi="Trebuchet MS" w:cs="Arial"/>
          <w:sz w:val="23"/>
          <w:szCs w:val="23"/>
          <w:lang w:eastAsia="es-ES"/>
        </w:rPr>
        <w:t xml:space="preserve"> </w:t>
      </w:r>
      <w:r w:rsidR="006D545E" w:rsidRPr="008E1E1A">
        <w:rPr>
          <w:rFonts w:ascii="Trebuchet MS" w:eastAsia="Times New Roman" w:hAnsi="Trebuchet MS" w:cs="Arial"/>
          <w:sz w:val="23"/>
          <w:szCs w:val="23"/>
          <w:lang w:eastAsia="es-ES"/>
        </w:rPr>
        <w:t>antecedente</w:t>
      </w:r>
      <w:r w:rsidRPr="008E1E1A">
        <w:rPr>
          <w:rFonts w:ascii="Trebuchet MS" w:eastAsia="Times New Roman" w:hAnsi="Trebuchet MS" w:cs="Arial"/>
          <w:sz w:val="23"/>
          <w:szCs w:val="23"/>
          <w:lang w:eastAsia="es-ES"/>
        </w:rPr>
        <w:t>s</w:t>
      </w:r>
      <w:r w:rsidR="006D545E" w:rsidRPr="008E1E1A">
        <w:rPr>
          <w:rFonts w:ascii="Trebuchet MS" w:eastAsia="Times New Roman" w:hAnsi="Trebuchet MS" w:cs="Arial"/>
          <w:sz w:val="23"/>
          <w:szCs w:val="23"/>
          <w:lang w:eastAsia="es-ES"/>
        </w:rPr>
        <w:t xml:space="preserve"> </w:t>
      </w:r>
      <w:r w:rsidRPr="008E1E1A">
        <w:rPr>
          <w:rFonts w:ascii="Trebuchet MS" w:eastAsia="Times New Roman" w:hAnsi="Trebuchet MS" w:cs="Arial"/>
          <w:sz w:val="23"/>
          <w:szCs w:val="23"/>
          <w:lang w:eastAsia="es-ES"/>
        </w:rPr>
        <w:t xml:space="preserve">3 y 4 </w:t>
      </w:r>
      <w:r w:rsidR="006D545E" w:rsidRPr="008E1E1A">
        <w:rPr>
          <w:rFonts w:ascii="Trebuchet MS" w:eastAsia="Times New Roman" w:hAnsi="Trebuchet MS" w:cs="Arial"/>
          <w:sz w:val="23"/>
          <w:szCs w:val="23"/>
          <w:lang w:eastAsia="es-ES"/>
        </w:rPr>
        <w:t xml:space="preserve">de este acuerdo, </w:t>
      </w:r>
      <w:r w:rsidRPr="008E1E1A">
        <w:rPr>
          <w:rFonts w:ascii="Trebuchet MS" w:eastAsia="Times New Roman" w:hAnsi="Trebuchet MS" w:cs="Arial"/>
          <w:sz w:val="23"/>
          <w:szCs w:val="23"/>
          <w:lang w:eastAsia="es-ES"/>
        </w:rPr>
        <w:t>los</w:t>
      </w:r>
      <w:r w:rsidR="003B7A1C" w:rsidRPr="008E1E1A">
        <w:rPr>
          <w:rFonts w:ascii="Trebuchet MS" w:eastAsia="Times New Roman" w:hAnsi="Trebuchet MS" w:cs="Arial"/>
          <w:sz w:val="23"/>
          <w:szCs w:val="23"/>
          <w:lang w:eastAsia="es-ES"/>
        </w:rPr>
        <w:t xml:space="preserve"> </w:t>
      </w:r>
      <w:r w:rsidR="005D7D09" w:rsidRPr="008E1E1A">
        <w:rPr>
          <w:rFonts w:ascii="Trebuchet MS" w:eastAsia="Times New Roman" w:hAnsi="Trebuchet MS" w:cs="Arial"/>
          <w:sz w:val="23"/>
          <w:szCs w:val="23"/>
          <w:lang w:eastAsia="es-ES"/>
        </w:rPr>
        <w:t>día</w:t>
      </w:r>
      <w:r w:rsidRPr="008E1E1A">
        <w:rPr>
          <w:rFonts w:ascii="Trebuchet MS" w:eastAsia="Times New Roman" w:hAnsi="Trebuchet MS" w:cs="Arial"/>
          <w:sz w:val="23"/>
          <w:szCs w:val="23"/>
          <w:lang w:eastAsia="es-ES"/>
        </w:rPr>
        <w:t>s</w:t>
      </w:r>
      <w:r w:rsidR="005D7D09" w:rsidRPr="008E1E1A">
        <w:rPr>
          <w:rFonts w:ascii="Trebuchet MS" w:eastAsia="Times New Roman" w:hAnsi="Trebuchet MS" w:cs="Arial"/>
          <w:sz w:val="23"/>
          <w:szCs w:val="23"/>
          <w:lang w:eastAsia="es-ES"/>
        </w:rPr>
        <w:t xml:space="preserve"> </w:t>
      </w:r>
      <w:r w:rsidRPr="008E1E1A">
        <w:rPr>
          <w:rFonts w:ascii="Trebuchet MS" w:eastAsia="Times New Roman" w:hAnsi="Trebuchet MS" w:cs="Arial"/>
          <w:sz w:val="23"/>
          <w:szCs w:val="23"/>
          <w:lang w:eastAsia="es-ES"/>
        </w:rPr>
        <w:t xml:space="preserve">veintitrés, </w:t>
      </w:r>
      <w:r w:rsidR="005D7D09" w:rsidRPr="008E1E1A">
        <w:rPr>
          <w:rFonts w:ascii="Trebuchet MS" w:eastAsia="Times New Roman" w:hAnsi="Trebuchet MS" w:cs="Arial"/>
          <w:sz w:val="23"/>
          <w:szCs w:val="23"/>
          <w:lang w:eastAsia="es-ES"/>
        </w:rPr>
        <w:t>veinti</w:t>
      </w:r>
      <w:r w:rsidR="00F117C5" w:rsidRPr="008E1E1A">
        <w:rPr>
          <w:rFonts w:ascii="Trebuchet MS" w:eastAsia="Times New Roman" w:hAnsi="Trebuchet MS" w:cs="Arial"/>
          <w:sz w:val="23"/>
          <w:szCs w:val="23"/>
          <w:lang w:eastAsia="es-ES"/>
        </w:rPr>
        <w:t>ocho</w:t>
      </w:r>
      <w:r w:rsidRPr="008E1E1A">
        <w:rPr>
          <w:rFonts w:ascii="Trebuchet MS" w:eastAsia="Times New Roman" w:hAnsi="Trebuchet MS" w:cs="Arial"/>
          <w:sz w:val="23"/>
          <w:szCs w:val="23"/>
          <w:lang w:eastAsia="es-ES"/>
        </w:rPr>
        <w:t xml:space="preserve"> y veintinueve de diciembre de dos mil veintiuno</w:t>
      </w:r>
      <w:r w:rsidR="003B7A1C" w:rsidRPr="008E1E1A">
        <w:rPr>
          <w:rFonts w:ascii="Trebuchet MS" w:eastAsia="Times New Roman" w:hAnsi="Trebuchet MS" w:cs="Arial"/>
          <w:sz w:val="23"/>
          <w:szCs w:val="23"/>
          <w:lang w:eastAsia="es-ES"/>
        </w:rPr>
        <w:t xml:space="preserve">, </w:t>
      </w:r>
      <w:r w:rsidRPr="008E1E1A">
        <w:rPr>
          <w:rFonts w:ascii="Trebuchet MS" w:eastAsia="Times New Roman" w:hAnsi="Trebuchet MS" w:cs="Arial"/>
          <w:color w:val="000000"/>
          <w:sz w:val="23"/>
          <w:szCs w:val="23"/>
          <w:lang w:eastAsia="ar-SA"/>
        </w:rPr>
        <w:t>los consejeros representantes del Partidos Revolucionario Institucional, Partido Acción Nacional, partido político Morena y partido político Movimiento Ciudadano presentaron, respectivamente, recursos de apelación en contra del acuerdo IEPC-ACG-398/2021, mismos que fueron remitidos al Tribunal Electoral del Estado de Jalisco, donde se registraron con los números de expediente RAP-056/2021, RAP-001/2022, RAP-002/2022 y RAP-005/2022.</w:t>
      </w:r>
    </w:p>
    <w:p w:rsidR="00CC61B6" w:rsidRPr="008E1E1A" w:rsidRDefault="00CC61B6" w:rsidP="00AC239C">
      <w:pPr>
        <w:suppressAutoHyphens/>
        <w:autoSpaceDE w:val="0"/>
        <w:spacing w:after="0"/>
        <w:jc w:val="both"/>
        <w:rPr>
          <w:rFonts w:ascii="Trebuchet MS" w:eastAsia="Times New Roman" w:hAnsi="Trebuchet MS" w:cs="Arial"/>
          <w:sz w:val="23"/>
          <w:szCs w:val="23"/>
          <w:lang w:eastAsia="es-ES"/>
        </w:rPr>
      </w:pPr>
    </w:p>
    <w:p w:rsidR="00CC61B6" w:rsidRPr="008E1E1A" w:rsidRDefault="00CC61B6" w:rsidP="00AC239C">
      <w:pPr>
        <w:shd w:val="clear" w:color="auto" w:fill="FFFFFF" w:themeFill="background1"/>
        <w:suppressAutoHyphens/>
        <w:autoSpaceDE w:val="0"/>
        <w:spacing w:after="0"/>
        <w:jc w:val="both"/>
        <w:rPr>
          <w:rFonts w:ascii="Trebuchet MS" w:eastAsia="Times New Roman" w:hAnsi="Trebuchet MS" w:cs="Arial"/>
          <w:color w:val="000000"/>
          <w:sz w:val="23"/>
          <w:szCs w:val="23"/>
          <w:lang w:eastAsia="ar-SA"/>
        </w:rPr>
      </w:pPr>
      <w:r w:rsidRPr="008E1E1A">
        <w:rPr>
          <w:rFonts w:ascii="Trebuchet MS" w:eastAsia="Times New Roman" w:hAnsi="Trebuchet MS" w:cs="Arial"/>
          <w:sz w:val="23"/>
          <w:szCs w:val="23"/>
          <w:lang w:eastAsia="es-ES"/>
        </w:rPr>
        <w:t>Asimismo, m</w:t>
      </w:r>
      <w:r w:rsidRPr="008E1E1A">
        <w:rPr>
          <w:rFonts w:ascii="Trebuchet MS" w:eastAsia="Times New Roman" w:hAnsi="Trebuchet MS" w:cs="Arial"/>
          <w:color w:val="000000"/>
          <w:sz w:val="23"/>
          <w:szCs w:val="23"/>
          <w:lang w:eastAsia="ar-SA"/>
        </w:rPr>
        <w:t>ediante acuerdo de veintitrés de marzo de dos mil veintidós, emitido en el recurso de apelación RAP-056/2021 se decretó la acumulación de los expedientes RAP-001/2022, RAP-002/2022 y RAP-005/2022 al mencionado en primer término.</w:t>
      </w:r>
    </w:p>
    <w:p w:rsidR="00CC61B6" w:rsidRPr="008E1E1A" w:rsidRDefault="00CC61B6" w:rsidP="00AC239C">
      <w:pPr>
        <w:suppressAutoHyphens/>
        <w:autoSpaceDE w:val="0"/>
        <w:spacing w:after="0"/>
        <w:jc w:val="both"/>
        <w:rPr>
          <w:rFonts w:ascii="Trebuchet MS" w:eastAsia="Times New Roman" w:hAnsi="Trebuchet MS" w:cs="Arial"/>
          <w:sz w:val="23"/>
          <w:szCs w:val="23"/>
          <w:lang w:eastAsia="es-ES"/>
        </w:rPr>
      </w:pPr>
    </w:p>
    <w:p w:rsidR="00812060" w:rsidRPr="008E1E1A" w:rsidRDefault="00CC61B6" w:rsidP="00AC239C">
      <w:pPr>
        <w:shd w:val="clear" w:color="auto" w:fill="FFFFFF"/>
        <w:spacing w:after="0"/>
        <w:jc w:val="both"/>
        <w:rPr>
          <w:rFonts w:ascii="Trebuchet MS" w:eastAsia="Times New Roman" w:hAnsi="Trebuchet MS" w:cs="Arial"/>
          <w:sz w:val="23"/>
          <w:szCs w:val="23"/>
          <w:lang w:eastAsia="es-ES"/>
        </w:rPr>
      </w:pPr>
      <w:r w:rsidRPr="008E1E1A">
        <w:rPr>
          <w:rFonts w:ascii="Trebuchet MS" w:eastAsia="Times New Roman" w:hAnsi="Trebuchet MS" w:cs="Arial"/>
          <w:b/>
          <w:sz w:val="23"/>
          <w:szCs w:val="23"/>
          <w:lang w:eastAsia="es-ES"/>
        </w:rPr>
        <w:t>V. DE LA RESOLUCIÓN DEL RECURSO DE APELACIÓN RAP-056/2021 Y ACUMULADOS</w:t>
      </w:r>
      <w:r w:rsidRPr="008E1E1A">
        <w:rPr>
          <w:rFonts w:ascii="Trebuchet MS" w:hAnsi="Trebuchet MS" w:cs="Arial"/>
          <w:b/>
          <w:sz w:val="23"/>
          <w:szCs w:val="23"/>
        </w:rPr>
        <w:t xml:space="preserve">. </w:t>
      </w:r>
      <w:r w:rsidR="00812060" w:rsidRPr="008E1E1A">
        <w:rPr>
          <w:rFonts w:ascii="Trebuchet MS" w:eastAsia="Times New Roman" w:hAnsi="Trebuchet MS" w:cs="Arial"/>
          <w:sz w:val="23"/>
          <w:szCs w:val="23"/>
          <w:lang w:eastAsia="es-ES"/>
        </w:rPr>
        <w:t>Que el veinticinco de marzo del año en curso, se recibió en este Instituto la sentencia emitida el día anterior, por el Tribunal Electoral del Estado de Jalisco, en el recurso de apelación RAP-056/2021 y acumulados, al que correspondió el folio 00408, ordenando a este Consejo General revocar, en lo que fue materia de impugnación, el acuerdo IEPC-ACG-398/2021.</w:t>
      </w:r>
    </w:p>
    <w:p w:rsidR="00CC61B6" w:rsidRPr="008E1E1A" w:rsidRDefault="00CC61B6" w:rsidP="00AC239C">
      <w:pPr>
        <w:suppressAutoHyphens/>
        <w:autoSpaceDE w:val="0"/>
        <w:spacing w:after="0"/>
        <w:jc w:val="both"/>
        <w:rPr>
          <w:rFonts w:ascii="Trebuchet MS" w:eastAsia="Times New Roman" w:hAnsi="Trebuchet MS" w:cs="Arial"/>
          <w:b/>
          <w:sz w:val="23"/>
          <w:szCs w:val="23"/>
          <w:lang w:eastAsia="es-ES"/>
        </w:rPr>
      </w:pPr>
    </w:p>
    <w:p w:rsidR="00596C6C" w:rsidRPr="008E1E1A" w:rsidRDefault="000360F3" w:rsidP="00AC239C">
      <w:pPr>
        <w:spacing w:after="0"/>
        <w:jc w:val="both"/>
        <w:rPr>
          <w:rFonts w:ascii="Trebuchet MS" w:eastAsia="Times New Roman" w:hAnsi="Trebuchet MS" w:cs="Arial"/>
          <w:b/>
          <w:sz w:val="23"/>
          <w:szCs w:val="23"/>
          <w:lang w:val="es-ES" w:eastAsia="es-ES"/>
        </w:rPr>
      </w:pPr>
      <w:r w:rsidRPr="008E1E1A">
        <w:rPr>
          <w:rFonts w:ascii="Trebuchet MS" w:eastAsia="Calibri" w:hAnsi="Trebuchet MS" w:cs="Arial"/>
          <w:b/>
          <w:sz w:val="23"/>
          <w:szCs w:val="23"/>
          <w:lang w:eastAsia="ar-SA"/>
        </w:rPr>
        <w:t>VI</w:t>
      </w:r>
      <w:r w:rsidR="006D545E" w:rsidRPr="008E1E1A">
        <w:rPr>
          <w:rFonts w:ascii="Trebuchet MS" w:eastAsia="Calibri" w:hAnsi="Trebuchet MS" w:cs="Arial"/>
          <w:b/>
          <w:sz w:val="23"/>
          <w:szCs w:val="23"/>
          <w:lang w:eastAsia="ar-SA"/>
        </w:rPr>
        <w:t>.</w:t>
      </w:r>
      <w:r w:rsidR="006D545E" w:rsidRPr="008E1E1A">
        <w:rPr>
          <w:rFonts w:ascii="Trebuchet MS" w:eastAsia="Calibri" w:hAnsi="Trebuchet MS" w:cs="Arial"/>
          <w:sz w:val="23"/>
          <w:szCs w:val="23"/>
          <w:lang w:eastAsia="ar-SA"/>
        </w:rPr>
        <w:t xml:space="preserve"> </w:t>
      </w:r>
      <w:r w:rsidR="00115A4F" w:rsidRPr="008E1E1A">
        <w:rPr>
          <w:rFonts w:ascii="Trebuchet MS" w:eastAsia="Times New Roman" w:hAnsi="Trebuchet MS" w:cs="Arial"/>
          <w:b/>
          <w:bCs/>
          <w:sz w:val="23"/>
          <w:szCs w:val="23"/>
          <w:lang w:val="es-ES" w:eastAsia="es-ES"/>
        </w:rPr>
        <w:t>EFECTOS DE LA SENTENCIA</w:t>
      </w:r>
      <w:r w:rsidR="009B5F05" w:rsidRPr="008E1E1A">
        <w:rPr>
          <w:rFonts w:ascii="Trebuchet MS" w:eastAsia="Times New Roman" w:hAnsi="Trebuchet MS" w:cs="Arial"/>
          <w:b/>
          <w:sz w:val="23"/>
          <w:szCs w:val="23"/>
          <w:lang w:eastAsia="es-ES"/>
        </w:rPr>
        <w:t>.</w:t>
      </w:r>
      <w:r w:rsidR="009B5F05" w:rsidRPr="008E1E1A">
        <w:rPr>
          <w:rFonts w:ascii="Trebuchet MS" w:eastAsia="Times New Roman" w:hAnsi="Trebuchet MS" w:cs="Arial"/>
          <w:sz w:val="23"/>
          <w:szCs w:val="23"/>
          <w:lang w:eastAsia="es-ES"/>
        </w:rPr>
        <w:t xml:space="preserve"> </w:t>
      </w:r>
      <w:r w:rsidR="006B5BC0" w:rsidRPr="008E1E1A">
        <w:rPr>
          <w:rFonts w:ascii="Trebuchet MS" w:eastAsia="Times New Roman" w:hAnsi="Trebuchet MS" w:cs="Arial"/>
          <w:sz w:val="23"/>
          <w:szCs w:val="23"/>
          <w:lang w:eastAsia="es-ES"/>
        </w:rPr>
        <w:t xml:space="preserve">El </w:t>
      </w:r>
      <w:r w:rsidR="00115A4F" w:rsidRPr="008E1E1A">
        <w:rPr>
          <w:rFonts w:ascii="Trebuchet MS" w:eastAsia="Times New Roman" w:hAnsi="Trebuchet MS" w:cs="Arial"/>
          <w:sz w:val="23"/>
          <w:szCs w:val="23"/>
          <w:lang w:eastAsia="es-ES"/>
        </w:rPr>
        <w:t xml:space="preserve">apartado de efectos de la sentencia materia de este acuerdo, </w:t>
      </w:r>
      <w:r w:rsidR="006B5BC0" w:rsidRPr="008E1E1A">
        <w:rPr>
          <w:rFonts w:ascii="Trebuchet MS" w:eastAsia="Times New Roman" w:hAnsi="Trebuchet MS" w:cs="Arial"/>
          <w:sz w:val="23"/>
          <w:szCs w:val="23"/>
          <w:lang w:eastAsia="es-ES"/>
        </w:rPr>
        <w:t>es</w:t>
      </w:r>
      <w:r w:rsidR="00793E17" w:rsidRPr="008E1E1A">
        <w:rPr>
          <w:rFonts w:ascii="Trebuchet MS" w:eastAsia="Times New Roman" w:hAnsi="Trebuchet MS" w:cs="Arial"/>
          <w:sz w:val="23"/>
          <w:szCs w:val="23"/>
          <w:lang w:eastAsia="es-ES"/>
        </w:rPr>
        <w:t xml:space="preserve"> </w:t>
      </w:r>
      <w:r w:rsidR="00115A4F" w:rsidRPr="008E1E1A">
        <w:rPr>
          <w:rFonts w:ascii="Trebuchet MS" w:eastAsia="Times New Roman" w:hAnsi="Trebuchet MS" w:cs="Arial"/>
          <w:sz w:val="23"/>
          <w:szCs w:val="23"/>
          <w:lang w:eastAsia="es-ES"/>
        </w:rPr>
        <w:t xml:space="preserve">del tenor siguiente: </w:t>
      </w:r>
      <w:r w:rsidRPr="008E1E1A">
        <w:rPr>
          <w:rFonts w:ascii="Trebuchet MS" w:eastAsia="Times New Roman" w:hAnsi="Trebuchet MS" w:cs="Arial"/>
          <w:b/>
          <w:sz w:val="23"/>
          <w:szCs w:val="23"/>
          <w:lang w:val="es-ES" w:eastAsia="es-ES"/>
        </w:rPr>
        <w:t xml:space="preserve"> </w:t>
      </w:r>
    </w:p>
    <w:p w:rsidR="00920D49" w:rsidRPr="008E1E1A" w:rsidRDefault="00920D49" w:rsidP="00AC239C">
      <w:pPr>
        <w:autoSpaceDE w:val="0"/>
        <w:autoSpaceDN w:val="0"/>
        <w:adjustRightInd w:val="0"/>
        <w:spacing w:after="0"/>
        <w:jc w:val="both"/>
        <w:rPr>
          <w:rFonts w:ascii="Trebuchet MS" w:eastAsia="Times New Roman" w:hAnsi="Trebuchet MS" w:cs="Arial"/>
          <w:b/>
          <w:sz w:val="23"/>
          <w:szCs w:val="23"/>
          <w:lang w:eastAsia="es-ES"/>
        </w:rPr>
      </w:pPr>
    </w:p>
    <w:p w:rsidR="006F37AC" w:rsidRPr="008E1E1A" w:rsidRDefault="00606142" w:rsidP="00AC239C">
      <w:pPr>
        <w:spacing w:after="0"/>
        <w:ind w:left="567" w:right="474"/>
        <w:jc w:val="both"/>
        <w:rPr>
          <w:rFonts w:ascii="Trebuchet MS" w:hAnsi="Trebuchet MS" w:cs="Arial"/>
          <w:i/>
          <w:sz w:val="23"/>
          <w:szCs w:val="23"/>
        </w:rPr>
      </w:pPr>
      <w:r w:rsidRPr="008E1E1A">
        <w:rPr>
          <w:rFonts w:ascii="Trebuchet MS" w:hAnsi="Trebuchet MS" w:cs="Arial"/>
          <w:b/>
          <w:i/>
          <w:sz w:val="23"/>
          <w:szCs w:val="23"/>
        </w:rPr>
        <w:t>“</w:t>
      </w:r>
      <w:r w:rsidR="00A30714" w:rsidRPr="008E1E1A">
        <w:rPr>
          <w:rFonts w:ascii="Trebuchet MS" w:hAnsi="Trebuchet MS" w:cs="Arial"/>
          <w:b/>
          <w:i/>
          <w:sz w:val="23"/>
          <w:szCs w:val="23"/>
        </w:rPr>
        <w:t>CONSIDERANDO IX. Efectos de la sentencia.</w:t>
      </w:r>
      <w:r w:rsidR="00A30714" w:rsidRPr="008E1E1A">
        <w:rPr>
          <w:rFonts w:ascii="Trebuchet MS" w:hAnsi="Trebuchet MS" w:cs="Arial"/>
          <w:i/>
          <w:sz w:val="23"/>
          <w:szCs w:val="23"/>
        </w:rPr>
        <w:t xml:space="preserve"> En razón de que los motivos de agravios identificados con los números 1 al 7 en la síntesis, resultaron esencialmente fundados por las razones expuestas en la presente sentencia, con fundamento en lo dispuesto por el artículo 608 del Código Electoral, lo procedente es </w:t>
      </w:r>
      <w:r w:rsidR="00A30714" w:rsidRPr="008E1E1A">
        <w:rPr>
          <w:rFonts w:ascii="Trebuchet MS" w:hAnsi="Trebuchet MS" w:cs="Arial"/>
          <w:b/>
          <w:i/>
          <w:sz w:val="23"/>
          <w:szCs w:val="23"/>
        </w:rPr>
        <w:t>revocar</w:t>
      </w:r>
      <w:r w:rsidR="00A30714" w:rsidRPr="008E1E1A">
        <w:rPr>
          <w:rFonts w:ascii="Trebuchet MS" w:hAnsi="Trebuchet MS" w:cs="Arial"/>
          <w:i/>
          <w:sz w:val="23"/>
          <w:szCs w:val="23"/>
        </w:rPr>
        <w:t xml:space="preserve"> en lo que fue materia de impugnación el “ACUERDO DEL CONSEJO GENERAL DEL INSTITUTO ELECTORAL Y DE PARTICIPACIÓN CIUDADANA DEL ESTADO DE JALISCO POR EL QUE SE ESTABLECEN LOS MONTOS DE FINANCIAMIENTO PÚBLICO LOCAL QUE CORRESPONDEN A LOS PARTIDOS POLÍTICOS NACIONALES CON ACREDITACIÓN EN LA ENTIDAD FEDERATIVA, ASÍ COMO A LOS PARTIDOS POLÍTICOS ESTATALES PARA EL EJERCICIO FISCAL DOS MIL VEINTIDÓS”, de fecha veinte de diciembre de dos mil veintiuno, identificado con las siglas y números IEPC-ACG398/2021, y ordenar a la autoridad responsable efectúe lo siguiente: </w:t>
      </w:r>
    </w:p>
    <w:p w:rsidR="006F37AC" w:rsidRPr="008E1E1A" w:rsidRDefault="006F37AC" w:rsidP="00AC239C">
      <w:pPr>
        <w:spacing w:after="0"/>
        <w:ind w:left="567" w:right="474"/>
        <w:jc w:val="both"/>
        <w:rPr>
          <w:rFonts w:ascii="Trebuchet MS" w:hAnsi="Trebuchet MS" w:cs="Arial"/>
          <w:i/>
          <w:sz w:val="23"/>
          <w:szCs w:val="23"/>
        </w:rPr>
      </w:pPr>
    </w:p>
    <w:p w:rsidR="006F37AC" w:rsidRPr="008E1E1A" w:rsidRDefault="00A30714" w:rsidP="00AC239C">
      <w:pPr>
        <w:spacing w:after="0"/>
        <w:ind w:left="567" w:right="474"/>
        <w:jc w:val="both"/>
        <w:rPr>
          <w:rFonts w:ascii="Trebuchet MS" w:hAnsi="Trebuchet MS" w:cs="Arial"/>
          <w:i/>
          <w:sz w:val="23"/>
          <w:szCs w:val="23"/>
        </w:rPr>
      </w:pPr>
      <w:r w:rsidRPr="008E1E1A">
        <w:rPr>
          <w:rFonts w:ascii="Trebuchet MS" w:hAnsi="Trebuchet MS" w:cs="Arial"/>
          <w:i/>
          <w:sz w:val="23"/>
          <w:szCs w:val="23"/>
        </w:rPr>
        <w:t xml:space="preserve">1. En el plazo de tres días hábiles siguientes contados a partir de la notificación de la presente sentencia, emita un nuevo acuerdo en el que realice la distribución del financiamiento público estatal para el ejercicio dos mil veintidós, entre los partidos políticos nacionales y locales, observando las medidas determinadas en los incisos a), b), c) y d) del considerando VIII de esta sentencia. </w:t>
      </w:r>
    </w:p>
    <w:p w:rsidR="006F37AC" w:rsidRPr="008E1E1A" w:rsidRDefault="006F37AC" w:rsidP="00AC239C">
      <w:pPr>
        <w:spacing w:after="0"/>
        <w:ind w:left="567" w:right="474"/>
        <w:jc w:val="both"/>
        <w:rPr>
          <w:rFonts w:ascii="Trebuchet MS" w:hAnsi="Trebuchet MS" w:cs="Arial"/>
          <w:i/>
          <w:sz w:val="23"/>
          <w:szCs w:val="23"/>
        </w:rPr>
      </w:pPr>
    </w:p>
    <w:p w:rsidR="00A30714" w:rsidRPr="008E1E1A" w:rsidRDefault="00A30714" w:rsidP="00AC239C">
      <w:pPr>
        <w:spacing w:after="0"/>
        <w:ind w:left="567" w:right="474"/>
        <w:jc w:val="both"/>
        <w:rPr>
          <w:rFonts w:ascii="Trebuchet MS" w:hAnsi="Trebuchet MS" w:cs="Arial"/>
          <w:i/>
          <w:sz w:val="23"/>
          <w:szCs w:val="23"/>
        </w:rPr>
      </w:pPr>
      <w:r w:rsidRPr="008E1E1A">
        <w:rPr>
          <w:rFonts w:ascii="Trebuchet MS" w:hAnsi="Trebuchet MS" w:cs="Arial"/>
          <w:i/>
          <w:sz w:val="23"/>
          <w:szCs w:val="23"/>
        </w:rPr>
        <w:t>2. Para dar cumplimiento a lo ordenado, realice las gestiones necesarias para la obtención del recurso público que requiera. 3. Una vez, efectuado lo anterior, lo informe a este Tribunal Electoral dentro de las veinticuatro horas siguientes a que ello ocurra, adjuntando las copias certificadas de las constancias que así lo acrediten.</w:t>
      </w:r>
      <w:r w:rsidR="006F37AC" w:rsidRPr="008E1E1A">
        <w:rPr>
          <w:rFonts w:ascii="Trebuchet MS" w:hAnsi="Trebuchet MS" w:cs="Arial"/>
          <w:i/>
          <w:sz w:val="23"/>
          <w:szCs w:val="23"/>
        </w:rPr>
        <w:t>”</w:t>
      </w:r>
    </w:p>
    <w:p w:rsidR="00A30714" w:rsidRPr="008E1E1A" w:rsidRDefault="00A30714" w:rsidP="00AC239C">
      <w:pPr>
        <w:spacing w:after="0"/>
        <w:ind w:left="567" w:right="474"/>
        <w:jc w:val="both"/>
        <w:rPr>
          <w:rFonts w:ascii="Trebuchet MS" w:hAnsi="Trebuchet MS" w:cs="Arial"/>
          <w:i/>
          <w:sz w:val="23"/>
          <w:szCs w:val="23"/>
        </w:rPr>
      </w:pPr>
    </w:p>
    <w:p w:rsidR="000B4EF3" w:rsidRPr="008E1E1A" w:rsidRDefault="006F5AD5" w:rsidP="00AC239C">
      <w:pPr>
        <w:spacing w:after="0"/>
        <w:jc w:val="both"/>
        <w:rPr>
          <w:rFonts w:ascii="Trebuchet MS" w:hAnsi="Trebuchet MS" w:cs="Arial"/>
          <w:sz w:val="23"/>
          <w:szCs w:val="23"/>
        </w:rPr>
      </w:pPr>
      <w:r w:rsidRPr="008E1E1A">
        <w:rPr>
          <w:rFonts w:ascii="Trebuchet MS" w:eastAsia="Times New Roman" w:hAnsi="Trebuchet MS" w:cs="Arial"/>
          <w:b/>
          <w:bCs/>
          <w:sz w:val="23"/>
          <w:szCs w:val="23"/>
          <w:lang w:eastAsia="es-ES"/>
        </w:rPr>
        <w:t>V</w:t>
      </w:r>
      <w:r w:rsidR="000360F3" w:rsidRPr="008E1E1A">
        <w:rPr>
          <w:rFonts w:ascii="Trebuchet MS" w:eastAsia="Times New Roman" w:hAnsi="Trebuchet MS" w:cs="Arial"/>
          <w:b/>
          <w:bCs/>
          <w:sz w:val="23"/>
          <w:szCs w:val="23"/>
          <w:lang w:eastAsia="es-ES"/>
        </w:rPr>
        <w:t>II</w:t>
      </w:r>
      <w:r w:rsidR="00115A4F" w:rsidRPr="008E1E1A">
        <w:rPr>
          <w:rFonts w:ascii="Trebuchet MS" w:eastAsia="Times New Roman" w:hAnsi="Trebuchet MS" w:cs="Arial"/>
          <w:b/>
          <w:bCs/>
          <w:sz w:val="23"/>
          <w:szCs w:val="23"/>
          <w:lang w:eastAsia="es-ES"/>
        </w:rPr>
        <w:t>. CUMPLIMIENTO</w:t>
      </w:r>
      <w:r w:rsidR="00B12F43" w:rsidRPr="008E1E1A">
        <w:rPr>
          <w:rFonts w:ascii="Trebuchet MS" w:eastAsia="Times New Roman" w:hAnsi="Trebuchet MS" w:cs="Arial"/>
          <w:b/>
          <w:sz w:val="23"/>
          <w:szCs w:val="23"/>
          <w:lang w:eastAsia="es-ES"/>
        </w:rPr>
        <w:t>.</w:t>
      </w:r>
      <w:r w:rsidR="00115A4F" w:rsidRPr="008E1E1A">
        <w:rPr>
          <w:rFonts w:ascii="Trebuchet MS" w:eastAsia="Times New Roman" w:hAnsi="Trebuchet MS" w:cs="Arial"/>
          <w:b/>
          <w:sz w:val="23"/>
          <w:szCs w:val="23"/>
          <w:lang w:eastAsia="es-ES"/>
        </w:rPr>
        <w:t xml:space="preserve"> </w:t>
      </w:r>
      <w:r w:rsidR="009D5724" w:rsidRPr="008E1E1A">
        <w:rPr>
          <w:rFonts w:ascii="Trebuchet MS" w:eastAsia="Times New Roman" w:hAnsi="Trebuchet MS" w:cs="Arial"/>
          <w:bCs/>
          <w:sz w:val="23"/>
          <w:szCs w:val="23"/>
          <w:lang w:eastAsia="es-ES"/>
        </w:rPr>
        <w:t>En</w:t>
      </w:r>
      <w:r w:rsidR="000B4EF3" w:rsidRPr="008E1E1A">
        <w:rPr>
          <w:rFonts w:ascii="Trebuchet MS" w:eastAsia="Times New Roman" w:hAnsi="Trebuchet MS" w:cs="Arial"/>
          <w:bCs/>
          <w:sz w:val="23"/>
          <w:szCs w:val="23"/>
          <w:lang w:eastAsia="es-ES"/>
        </w:rPr>
        <w:t xml:space="preserve"> la sentencia del recurso de apelación </w:t>
      </w:r>
      <w:r w:rsidR="000B4EF3" w:rsidRPr="008E1E1A">
        <w:rPr>
          <w:rFonts w:ascii="Trebuchet MS" w:eastAsia="Times New Roman" w:hAnsi="Trebuchet MS" w:cs="Arial"/>
          <w:sz w:val="23"/>
          <w:szCs w:val="23"/>
          <w:lang w:eastAsia="es-ES"/>
        </w:rPr>
        <w:t>RAP-056/2021 y acumulados,</w:t>
      </w:r>
      <w:r w:rsidR="000B4EF3" w:rsidRPr="008E1E1A">
        <w:rPr>
          <w:rFonts w:ascii="Trebuchet MS" w:hAnsi="Trebuchet MS" w:cs="Arial"/>
          <w:sz w:val="23"/>
          <w:szCs w:val="23"/>
        </w:rPr>
        <w:t xml:space="preserve"> e</w:t>
      </w:r>
      <w:r w:rsidR="00830084" w:rsidRPr="008E1E1A">
        <w:rPr>
          <w:rFonts w:ascii="Trebuchet MS" w:hAnsi="Trebuchet MS" w:cs="Arial"/>
          <w:sz w:val="23"/>
          <w:szCs w:val="23"/>
        </w:rPr>
        <w:t>l Tribunal</w:t>
      </w:r>
      <w:r w:rsidR="00FB57C3" w:rsidRPr="008E1E1A">
        <w:rPr>
          <w:rFonts w:ascii="Trebuchet MS" w:hAnsi="Trebuchet MS" w:cs="Arial"/>
          <w:sz w:val="23"/>
          <w:szCs w:val="23"/>
        </w:rPr>
        <w:t xml:space="preserve"> electoral</w:t>
      </w:r>
      <w:r w:rsidR="00830084" w:rsidRPr="008E1E1A">
        <w:rPr>
          <w:rFonts w:ascii="Trebuchet MS" w:hAnsi="Trebuchet MS" w:cs="Arial"/>
          <w:sz w:val="23"/>
          <w:szCs w:val="23"/>
        </w:rPr>
        <w:t xml:space="preserve"> local concluyó </w:t>
      </w:r>
      <w:r w:rsidR="000B4EF3" w:rsidRPr="008E1E1A">
        <w:rPr>
          <w:rFonts w:ascii="Trebuchet MS" w:hAnsi="Trebuchet MS" w:cs="Arial"/>
          <w:sz w:val="23"/>
          <w:szCs w:val="23"/>
        </w:rPr>
        <w:t>declarar fundados los motivos de agravios hechos valer</w:t>
      </w:r>
      <w:r w:rsidR="00FB57C3" w:rsidRPr="008E1E1A">
        <w:rPr>
          <w:rFonts w:ascii="Trebuchet MS" w:hAnsi="Trebuchet MS" w:cs="Arial"/>
          <w:sz w:val="23"/>
          <w:szCs w:val="23"/>
        </w:rPr>
        <w:t xml:space="preserve"> por</w:t>
      </w:r>
      <w:r w:rsidR="000B4EF3" w:rsidRPr="008E1E1A">
        <w:rPr>
          <w:rFonts w:ascii="Trebuchet MS" w:hAnsi="Trebuchet MS" w:cs="Arial"/>
          <w:sz w:val="23"/>
          <w:szCs w:val="23"/>
        </w:rPr>
        <w:t xml:space="preserve"> los promoventes, toda vez que a consideración del </w:t>
      </w:r>
      <w:r w:rsidR="00FB57C3" w:rsidRPr="008E1E1A">
        <w:rPr>
          <w:rFonts w:ascii="Trebuchet MS" w:hAnsi="Trebuchet MS" w:cs="Arial"/>
          <w:sz w:val="23"/>
          <w:szCs w:val="23"/>
        </w:rPr>
        <w:t xml:space="preserve">referido </w:t>
      </w:r>
      <w:r w:rsidR="000B4EF3" w:rsidRPr="008E1E1A">
        <w:rPr>
          <w:rFonts w:ascii="Trebuchet MS" w:hAnsi="Trebuchet MS" w:cs="Arial"/>
          <w:sz w:val="23"/>
          <w:szCs w:val="23"/>
        </w:rPr>
        <w:t>Tribunal el acuerdo impugnado está indebidamente motivado, lo cual es suficiente pa</w:t>
      </w:r>
      <w:r w:rsidR="002528E9" w:rsidRPr="008E1E1A">
        <w:rPr>
          <w:rFonts w:ascii="Trebuchet MS" w:hAnsi="Trebuchet MS" w:cs="Arial"/>
          <w:sz w:val="23"/>
          <w:szCs w:val="23"/>
        </w:rPr>
        <w:t xml:space="preserve">ra que sea revocado en lo que </w:t>
      </w:r>
      <w:r w:rsidR="000B4EF3" w:rsidRPr="008E1E1A">
        <w:rPr>
          <w:rFonts w:ascii="Trebuchet MS" w:hAnsi="Trebuchet MS" w:cs="Arial"/>
          <w:sz w:val="23"/>
          <w:szCs w:val="23"/>
        </w:rPr>
        <w:t>fue materia de controversia.</w:t>
      </w:r>
      <w:r w:rsidR="002528E9" w:rsidRPr="008E1E1A">
        <w:rPr>
          <w:rFonts w:ascii="Trebuchet MS" w:hAnsi="Trebuchet MS" w:cs="Arial"/>
          <w:sz w:val="23"/>
          <w:szCs w:val="23"/>
        </w:rPr>
        <w:t xml:space="preserve"> </w:t>
      </w:r>
    </w:p>
    <w:p w:rsidR="000B4EF3" w:rsidRPr="008E1E1A" w:rsidRDefault="000B4EF3" w:rsidP="00AC239C">
      <w:pPr>
        <w:spacing w:after="0"/>
        <w:jc w:val="both"/>
        <w:rPr>
          <w:rFonts w:ascii="Trebuchet MS" w:hAnsi="Trebuchet MS" w:cs="Arial"/>
          <w:sz w:val="23"/>
          <w:szCs w:val="23"/>
        </w:rPr>
      </w:pPr>
    </w:p>
    <w:p w:rsidR="00830084" w:rsidRPr="008E1E1A" w:rsidRDefault="002528E9" w:rsidP="00AC239C">
      <w:pPr>
        <w:spacing w:after="0"/>
        <w:jc w:val="both"/>
        <w:rPr>
          <w:rFonts w:ascii="Trebuchet MS" w:hAnsi="Trebuchet MS" w:cs="Arial"/>
          <w:i/>
          <w:iCs/>
          <w:sz w:val="23"/>
          <w:szCs w:val="23"/>
        </w:rPr>
      </w:pPr>
      <w:r w:rsidRPr="008E1E1A">
        <w:rPr>
          <w:rFonts w:ascii="Trebuchet MS" w:hAnsi="Trebuchet MS" w:cs="Arial"/>
          <w:sz w:val="23"/>
          <w:szCs w:val="23"/>
        </w:rPr>
        <w:t>La autoridad jurisdiccional local consider</w:t>
      </w:r>
      <w:r w:rsidR="00613527" w:rsidRPr="008E1E1A">
        <w:rPr>
          <w:rFonts w:ascii="Trebuchet MS" w:hAnsi="Trebuchet MS" w:cs="Arial"/>
          <w:sz w:val="23"/>
          <w:szCs w:val="23"/>
        </w:rPr>
        <w:t>ó</w:t>
      </w:r>
      <w:r w:rsidRPr="008E1E1A">
        <w:rPr>
          <w:rFonts w:ascii="Trebuchet MS" w:hAnsi="Trebuchet MS" w:cs="Arial"/>
          <w:sz w:val="23"/>
          <w:szCs w:val="23"/>
        </w:rPr>
        <w:t xml:space="preserve"> </w:t>
      </w:r>
      <w:r w:rsidR="00830084" w:rsidRPr="008E1E1A">
        <w:rPr>
          <w:rFonts w:ascii="Trebuchet MS" w:hAnsi="Trebuchet MS" w:cs="Arial"/>
          <w:sz w:val="23"/>
          <w:szCs w:val="23"/>
        </w:rPr>
        <w:t>que este Consejo General “</w:t>
      </w:r>
      <w:r w:rsidR="00830084" w:rsidRPr="008E1E1A">
        <w:rPr>
          <w:rFonts w:ascii="Trebuchet MS" w:hAnsi="Trebuchet MS" w:cs="Arial"/>
          <w:i/>
          <w:iCs/>
          <w:sz w:val="23"/>
          <w:szCs w:val="23"/>
        </w:rPr>
        <w:t>se apartó del marco jurídico establecido al determinar el método de distribución de financiamiento tanto para actividades ordinarias permanentes como para actividades específicas, en cuanto al treinta por ciento a distribuir de manera igualitaria, toda vez que en el artículo 51 de la Ley de Partidos y en el artículo 13, fracción IV, inciso a) de la Constitución Local, respectivamente, no se establece que para distribuir el financiamiento público estatal de los partidos políticos locales, se tenga que incluir a los partidos políticos nacionales o que para repartir el financiamiento público estatal de los partidos políticos nacionales acreditados en el estado de Jalisco se deba considerar también a los partidos políticos locales. Pues entenderlo de esa manera, implica introducir elementos no previstos en dichos artículos, lo cual genera una indebida motivación del acuerdo impugnado.”</w:t>
      </w:r>
    </w:p>
    <w:p w:rsidR="00830084" w:rsidRPr="008E1E1A" w:rsidRDefault="00830084" w:rsidP="00AC239C">
      <w:pPr>
        <w:spacing w:after="0"/>
        <w:jc w:val="both"/>
        <w:rPr>
          <w:rFonts w:ascii="Trebuchet MS" w:hAnsi="Trebuchet MS" w:cs="Arial"/>
          <w:sz w:val="23"/>
          <w:szCs w:val="23"/>
        </w:rPr>
      </w:pPr>
    </w:p>
    <w:p w:rsidR="00830084" w:rsidRPr="008E1E1A" w:rsidRDefault="00830084" w:rsidP="00AC239C">
      <w:pPr>
        <w:spacing w:after="0"/>
        <w:jc w:val="both"/>
        <w:rPr>
          <w:rFonts w:ascii="Trebuchet MS" w:hAnsi="Trebuchet MS" w:cs="Arial"/>
          <w:sz w:val="23"/>
          <w:szCs w:val="23"/>
        </w:rPr>
      </w:pPr>
      <w:r w:rsidRPr="008E1E1A">
        <w:rPr>
          <w:rFonts w:ascii="Trebuchet MS" w:hAnsi="Trebuchet MS" w:cs="Arial"/>
          <w:sz w:val="23"/>
          <w:szCs w:val="23"/>
        </w:rPr>
        <w:t xml:space="preserve">Sin embargo, la autoridad jurisdiccional </w:t>
      </w:r>
      <w:r w:rsidR="008E0E0A" w:rsidRPr="008E1E1A">
        <w:rPr>
          <w:rFonts w:ascii="Trebuchet MS" w:hAnsi="Trebuchet MS" w:cs="Arial"/>
          <w:sz w:val="23"/>
          <w:szCs w:val="23"/>
        </w:rPr>
        <w:t xml:space="preserve">determinó </w:t>
      </w:r>
      <w:r w:rsidRPr="008E1E1A">
        <w:rPr>
          <w:rFonts w:ascii="Trebuchet MS" w:hAnsi="Trebuchet MS" w:cs="Arial"/>
          <w:sz w:val="23"/>
          <w:szCs w:val="23"/>
        </w:rPr>
        <w:t>en que la repartici</w:t>
      </w:r>
      <w:r w:rsidR="002528E9" w:rsidRPr="008E1E1A">
        <w:rPr>
          <w:rFonts w:ascii="Trebuchet MS" w:hAnsi="Trebuchet MS" w:cs="Arial"/>
          <w:sz w:val="23"/>
          <w:szCs w:val="23"/>
        </w:rPr>
        <w:t>ón del porcentaje que se distribuye</w:t>
      </w:r>
      <w:r w:rsidRPr="008E1E1A">
        <w:rPr>
          <w:rFonts w:ascii="Trebuchet MS" w:hAnsi="Trebuchet MS" w:cs="Arial"/>
          <w:sz w:val="23"/>
          <w:szCs w:val="23"/>
        </w:rPr>
        <w:t xml:space="preserve"> igualitariamente entre los partidos</w:t>
      </w:r>
      <w:r w:rsidR="002528E9" w:rsidRPr="008E1E1A">
        <w:rPr>
          <w:rFonts w:ascii="Trebuchet MS" w:hAnsi="Trebuchet MS" w:cs="Arial"/>
          <w:sz w:val="23"/>
          <w:szCs w:val="23"/>
        </w:rPr>
        <w:t xml:space="preserve"> políticos locales</w:t>
      </w:r>
      <w:r w:rsidRPr="008E1E1A">
        <w:rPr>
          <w:rFonts w:ascii="Trebuchet MS" w:hAnsi="Trebuchet MS" w:cs="Arial"/>
          <w:sz w:val="23"/>
          <w:szCs w:val="23"/>
        </w:rPr>
        <w:t xml:space="preserve"> que tienen derecho a recibir financiamiento es “</w:t>
      </w:r>
      <w:r w:rsidRPr="008E1E1A">
        <w:rPr>
          <w:rFonts w:ascii="Trebuchet MS" w:hAnsi="Trebuchet MS" w:cs="Arial"/>
          <w:i/>
          <w:iCs/>
          <w:sz w:val="23"/>
          <w:szCs w:val="23"/>
        </w:rPr>
        <w:t>el que genera la inequidad y desproporción de distribución del mismo entre los partidos políticos locales y nacionales…Ello es así, pues como se indicó en consideraciones previas, el monto de la bolsa de financiamiento a repartir para los partidos políticos locales, excede de manera considerable el monto de la bolsa de financiamiento para los partidos políticos nacionales…</w:t>
      </w:r>
      <w:r w:rsidRPr="008E1E1A">
        <w:rPr>
          <w:rFonts w:ascii="Trebuchet MS" w:hAnsi="Trebuchet MS" w:cs="Arial"/>
          <w:sz w:val="23"/>
          <w:szCs w:val="23"/>
        </w:rPr>
        <w:t>”</w:t>
      </w:r>
    </w:p>
    <w:p w:rsidR="00830084" w:rsidRPr="008E1E1A" w:rsidRDefault="00830084" w:rsidP="00AC239C">
      <w:pPr>
        <w:spacing w:after="0"/>
        <w:jc w:val="both"/>
        <w:rPr>
          <w:rFonts w:ascii="Trebuchet MS" w:hAnsi="Trebuchet MS" w:cs="Arial"/>
          <w:sz w:val="23"/>
          <w:szCs w:val="23"/>
        </w:rPr>
      </w:pPr>
    </w:p>
    <w:p w:rsidR="00830084" w:rsidRPr="008E1E1A" w:rsidRDefault="000B4EF3" w:rsidP="00AC239C">
      <w:pPr>
        <w:spacing w:after="0"/>
        <w:jc w:val="both"/>
        <w:rPr>
          <w:rFonts w:ascii="Trebuchet MS" w:hAnsi="Trebuchet MS" w:cs="Arial"/>
          <w:sz w:val="23"/>
          <w:szCs w:val="23"/>
        </w:rPr>
      </w:pPr>
      <w:r w:rsidRPr="008E1E1A">
        <w:rPr>
          <w:rFonts w:ascii="Trebuchet MS" w:hAnsi="Trebuchet MS" w:cs="Arial"/>
          <w:sz w:val="23"/>
          <w:szCs w:val="23"/>
        </w:rPr>
        <w:t>Por lo anterior, el Tribunal electoral local consider</w:t>
      </w:r>
      <w:r w:rsidR="008E0E0A" w:rsidRPr="008E1E1A">
        <w:rPr>
          <w:rFonts w:ascii="Trebuchet MS" w:hAnsi="Trebuchet MS" w:cs="Arial"/>
          <w:sz w:val="23"/>
          <w:szCs w:val="23"/>
        </w:rPr>
        <w:t>ó</w:t>
      </w:r>
      <w:r w:rsidRPr="008E1E1A">
        <w:rPr>
          <w:rFonts w:ascii="Trebuchet MS" w:hAnsi="Trebuchet MS" w:cs="Arial"/>
          <w:sz w:val="23"/>
          <w:szCs w:val="23"/>
        </w:rPr>
        <w:t xml:space="preserve"> que, para cumplir con los principios constitucionales de equidad y proporcionalidad en la distribución del financiamiento público estatal para el año dos mil veintidós, se deben aplicar las siguientes medidas:</w:t>
      </w:r>
    </w:p>
    <w:p w:rsidR="00830084" w:rsidRPr="008E1E1A" w:rsidRDefault="00830084" w:rsidP="00AC239C">
      <w:pPr>
        <w:spacing w:after="0"/>
        <w:jc w:val="both"/>
        <w:rPr>
          <w:rFonts w:ascii="Trebuchet MS" w:hAnsi="Trebuchet MS" w:cs="Arial"/>
          <w:sz w:val="23"/>
          <w:szCs w:val="23"/>
        </w:rPr>
      </w:pPr>
    </w:p>
    <w:p w:rsidR="00830084" w:rsidRPr="008E1E1A" w:rsidRDefault="00830084" w:rsidP="00AC239C">
      <w:pPr>
        <w:spacing w:after="0"/>
        <w:jc w:val="both"/>
        <w:rPr>
          <w:rFonts w:ascii="Trebuchet MS" w:hAnsi="Trebuchet MS" w:cs="Arial"/>
          <w:b/>
          <w:sz w:val="23"/>
          <w:szCs w:val="23"/>
          <w:u w:val="single"/>
        </w:rPr>
      </w:pPr>
      <w:r w:rsidRPr="008E1E1A">
        <w:rPr>
          <w:rFonts w:ascii="Trebuchet MS" w:hAnsi="Trebuchet MS" w:cs="Arial"/>
          <w:b/>
          <w:sz w:val="23"/>
          <w:szCs w:val="23"/>
          <w:u w:val="single"/>
        </w:rPr>
        <w:t>a) Bolsas de financiamiento público por actividades ordinarias permanentes</w:t>
      </w:r>
    </w:p>
    <w:p w:rsidR="00830084" w:rsidRPr="008E1E1A" w:rsidRDefault="00830084" w:rsidP="00AC239C">
      <w:pPr>
        <w:spacing w:after="0"/>
        <w:jc w:val="both"/>
        <w:rPr>
          <w:rFonts w:ascii="Trebuchet MS" w:hAnsi="Trebuchet MS" w:cs="Arial"/>
          <w:sz w:val="23"/>
          <w:szCs w:val="23"/>
        </w:rPr>
      </w:pPr>
      <w:r w:rsidRPr="008E1E1A">
        <w:rPr>
          <w:rFonts w:ascii="Trebuchet MS" w:hAnsi="Trebuchet MS" w:cs="Arial"/>
          <w:sz w:val="23"/>
          <w:szCs w:val="23"/>
        </w:rPr>
        <w:t>Se deben utilizar las dos bolsas determinadas para el financiamiento público, una para partidos políticos nacionales y otra para partidos políticos locales, cuyos montos se fijaron mediante el acuerdo IEPC-ACG-302/2021</w:t>
      </w:r>
      <w:r w:rsidR="006C4949" w:rsidRPr="008E1E1A">
        <w:rPr>
          <w:rFonts w:ascii="Trebuchet MS" w:hAnsi="Trebuchet MS" w:cs="Arial"/>
          <w:sz w:val="23"/>
          <w:szCs w:val="23"/>
        </w:rPr>
        <w:t>, mismo que se encuentra firme, dado que no fue impugnado</w:t>
      </w:r>
      <w:r w:rsidRPr="008E1E1A">
        <w:rPr>
          <w:rFonts w:ascii="Trebuchet MS" w:hAnsi="Trebuchet MS" w:cs="Arial"/>
          <w:sz w:val="23"/>
          <w:szCs w:val="23"/>
        </w:rPr>
        <w:t>.</w:t>
      </w:r>
    </w:p>
    <w:p w:rsidR="00830084" w:rsidRPr="008E1E1A" w:rsidRDefault="00830084" w:rsidP="00AC239C">
      <w:pPr>
        <w:spacing w:after="0"/>
        <w:jc w:val="both"/>
        <w:rPr>
          <w:rFonts w:ascii="Trebuchet MS" w:hAnsi="Trebuchet MS" w:cs="Arial"/>
          <w:sz w:val="23"/>
          <w:szCs w:val="23"/>
        </w:rPr>
      </w:pPr>
    </w:p>
    <w:p w:rsidR="00830084" w:rsidRPr="008E1E1A" w:rsidRDefault="00830084" w:rsidP="00AC239C">
      <w:pPr>
        <w:spacing w:after="0"/>
        <w:jc w:val="both"/>
        <w:rPr>
          <w:rFonts w:ascii="Trebuchet MS" w:hAnsi="Trebuchet MS" w:cs="Arial"/>
          <w:b/>
          <w:sz w:val="23"/>
          <w:szCs w:val="23"/>
          <w:u w:val="single"/>
        </w:rPr>
      </w:pPr>
      <w:r w:rsidRPr="008E1E1A">
        <w:rPr>
          <w:rFonts w:ascii="Trebuchet MS" w:hAnsi="Trebuchet MS" w:cs="Arial"/>
          <w:b/>
          <w:sz w:val="23"/>
          <w:szCs w:val="23"/>
          <w:u w:val="single"/>
        </w:rPr>
        <w:t xml:space="preserve">b) Partidos políticos nacionales (PPN) </w:t>
      </w:r>
    </w:p>
    <w:p w:rsidR="002528E9" w:rsidRPr="008E1E1A" w:rsidRDefault="002528E9" w:rsidP="00AC239C">
      <w:pPr>
        <w:spacing w:after="0"/>
        <w:jc w:val="both"/>
        <w:rPr>
          <w:rFonts w:ascii="Trebuchet MS" w:hAnsi="Trebuchet MS" w:cs="Arial"/>
          <w:b/>
          <w:sz w:val="23"/>
          <w:szCs w:val="23"/>
          <w:u w:val="single"/>
        </w:rPr>
      </w:pPr>
    </w:p>
    <w:p w:rsidR="00830084" w:rsidRPr="008E1E1A" w:rsidRDefault="00830084" w:rsidP="00AC239C">
      <w:pPr>
        <w:spacing w:after="0"/>
        <w:jc w:val="both"/>
        <w:rPr>
          <w:rFonts w:ascii="Trebuchet MS" w:hAnsi="Trebuchet MS" w:cs="Arial"/>
          <w:b/>
          <w:sz w:val="23"/>
          <w:szCs w:val="23"/>
          <w:u w:val="single"/>
        </w:rPr>
      </w:pPr>
      <w:r w:rsidRPr="008E1E1A">
        <w:rPr>
          <w:rFonts w:ascii="Trebuchet MS" w:hAnsi="Trebuchet MS" w:cs="Arial"/>
          <w:b/>
          <w:sz w:val="23"/>
          <w:szCs w:val="23"/>
          <w:u w:val="single"/>
        </w:rPr>
        <w:t>Actividades ordinarias permanentes (AOP)</w:t>
      </w:r>
    </w:p>
    <w:p w:rsidR="002528E9" w:rsidRPr="008E1E1A" w:rsidRDefault="00830084" w:rsidP="00AC239C">
      <w:pPr>
        <w:spacing w:after="0"/>
        <w:jc w:val="both"/>
        <w:rPr>
          <w:rFonts w:ascii="Trebuchet MS" w:hAnsi="Trebuchet MS" w:cs="Arial"/>
          <w:sz w:val="23"/>
          <w:szCs w:val="23"/>
        </w:rPr>
      </w:pPr>
      <w:r w:rsidRPr="008E1E1A">
        <w:rPr>
          <w:rFonts w:ascii="Trebuchet MS" w:hAnsi="Trebuchet MS" w:cs="Arial"/>
          <w:sz w:val="23"/>
          <w:szCs w:val="23"/>
        </w:rPr>
        <w:t>Para distribuir la bolsa de financiamiento público estatal de estos partidos, en primer lugar, se deberá obtener el monto correspondiente por actividades ordinarias permanentes, que equivale a $113,811,287.92 (ciento trece millones ochocientos once mil doscientos ochent</w:t>
      </w:r>
      <w:r w:rsidR="002528E9" w:rsidRPr="008E1E1A">
        <w:rPr>
          <w:rFonts w:ascii="Trebuchet MS" w:hAnsi="Trebuchet MS" w:cs="Arial"/>
          <w:sz w:val="23"/>
          <w:szCs w:val="23"/>
        </w:rPr>
        <w:t>a y siete pesos 92/100 M.N.);</w:t>
      </w:r>
      <w:r w:rsidRPr="008E1E1A">
        <w:rPr>
          <w:rFonts w:ascii="Trebuchet MS" w:hAnsi="Trebuchet MS" w:cs="Arial"/>
          <w:sz w:val="23"/>
          <w:szCs w:val="23"/>
        </w:rPr>
        <w:t xml:space="preserve"> </w:t>
      </w:r>
      <w:r w:rsidR="006C4949" w:rsidRPr="008E1E1A">
        <w:rPr>
          <w:rFonts w:ascii="Trebuchet MS" w:hAnsi="Trebuchet MS" w:cs="Arial"/>
          <w:sz w:val="23"/>
          <w:szCs w:val="23"/>
        </w:rPr>
        <w:t xml:space="preserve">de conformidad con el cálculo que se observa en el Anexo del presente acuerdo; </w:t>
      </w:r>
      <w:r w:rsidRPr="008E1E1A">
        <w:rPr>
          <w:rFonts w:ascii="Trebuchet MS" w:hAnsi="Trebuchet MS" w:cs="Arial"/>
          <w:sz w:val="23"/>
          <w:szCs w:val="23"/>
        </w:rPr>
        <w:t xml:space="preserve">de ese monto el treinta por ciento </w:t>
      </w:r>
      <w:r w:rsidR="006C4949" w:rsidRPr="008E1E1A">
        <w:rPr>
          <w:rFonts w:ascii="Trebuchet MS" w:hAnsi="Trebuchet MS" w:cs="Arial"/>
          <w:sz w:val="23"/>
          <w:szCs w:val="23"/>
        </w:rPr>
        <w:t>equivale a la cantidad de</w:t>
      </w:r>
      <w:r w:rsidRPr="008E1E1A">
        <w:rPr>
          <w:rFonts w:ascii="Trebuchet MS" w:hAnsi="Trebuchet MS" w:cs="Arial"/>
          <w:sz w:val="23"/>
          <w:szCs w:val="23"/>
        </w:rPr>
        <w:t xml:space="preserve"> $34,143,386.37 (treinta y cuatro millones ciento cuarenta y tres mil trescientos ochenta y seis pesos 37/100 M.N.), y el setenta por ciento restante equivale a $79,667,901.54 (setenta y nueve millones seiscientos sesenta y siete mil novecientos un pesos 54/100 M.N.). </w:t>
      </w:r>
    </w:p>
    <w:p w:rsidR="002528E9" w:rsidRPr="008E1E1A" w:rsidRDefault="002528E9" w:rsidP="00AC239C">
      <w:pPr>
        <w:spacing w:after="0"/>
        <w:jc w:val="both"/>
        <w:rPr>
          <w:rFonts w:ascii="Trebuchet MS" w:hAnsi="Trebuchet MS" w:cs="Arial"/>
          <w:sz w:val="23"/>
          <w:szCs w:val="23"/>
        </w:rPr>
      </w:pPr>
    </w:p>
    <w:p w:rsidR="00830084" w:rsidRPr="008E1E1A" w:rsidRDefault="00830084" w:rsidP="00AC239C">
      <w:pPr>
        <w:spacing w:after="0"/>
        <w:jc w:val="both"/>
        <w:rPr>
          <w:rFonts w:ascii="Trebuchet MS" w:hAnsi="Trebuchet MS" w:cs="Arial"/>
          <w:sz w:val="23"/>
          <w:szCs w:val="23"/>
        </w:rPr>
      </w:pPr>
      <w:r w:rsidRPr="008E1E1A">
        <w:rPr>
          <w:rFonts w:ascii="Trebuchet MS" w:hAnsi="Trebuchet MS" w:cs="Arial"/>
          <w:sz w:val="23"/>
          <w:szCs w:val="23"/>
        </w:rPr>
        <w:t>El monto del treinta por ciento se deberán repartir en partes iguales, entre los partidos políticos nacionales con derecho a recibir financiamiento en la entidad federativa, esto es, cinco partidos (PAN, PRI, PVEM, MC y MORENA). El restante setenta por ciento de la bolsa de financiamiento para las actividades ordinarias permanentes se repartirán las cantidades correspondientes conforme al porcentaje de votación válida obtenido en la elección de diputaciones de mayoría relativa por cada partido político en el proceso electoral anterior, en el entendido que en la bolsa de financiamiento nacional no se repartirá de esa cantidad, la porción que represente la votación obtenida de los partidos políticos locales y, en la estatal, no será distribuido el financiamiento relativo a la porción que represente la votación de los partidos políticos nacionales.</w:t>
      </w:r>
    </w:p>
    <w:p w:rsidR="00830084" w:rsidRPr="008E1E1A" w:rsidRDefault="00830084" w:rsidP="00AC239C">
      <w:pPr>
        <w:spacing w:after="0"/>
        <w:rPr>
          <w:rFonts w:ascii="Trebuchet MS" w:hAnsi="Trebuchet MS" w:cs="Arial"/>
          <w:sz w:val="23"/>
          <w:szCs w:val="23"/>
          <w:u w:val="single"/>
        </w:rPr>
      </w:pPr>
    </w:p>
    <w:p w:rsidR="00830084" w:rsidRPr="008E1E1A" w:rsidRDefault="00830084" w:rsidP="00AC239C">
      <w:pPr>
        <w:spacing w:after="0"/>
        <w:rPr>
          <w:rFonts w:ascii="Trebuchet MS" w:hAnsi="Trebuchet MS" w:cs="Arial"/>
          <w:b/>
          <w:sz w:val="23"/>
          <w:szCs w:val="23"/>
          <w:u w:val="single"/>
        </w:rPr>
      </w:pPr>
      <w:r w:rsidRPr="008E1E1A">
        <w:rPr>
          <w:rFonts w:ascii="Trebuchet MS" w:hAnsi="Trebuchet MS" w:cs="Arial"/>
          <w:b/>
          <w:sz w:val="23"/>
          <w:szCs w:val="23"/>
          <w:u w:val="single"/>
        </w:rPr>
        <w:t>Actividades específicas (AE)</w:t>
      </w:r>
    </w:p>
    <w:p w:rsidR="002528E9" w:rsidRPr="008E1E1A" w:rsidRDefault="00830084" w:rsidP="00AC239C">
      <w:pPr>
        <w:spacing w:after="0"/>
        <w:jc w:val="both"/>
        <w:rPr>
          <w:rFonts w:ascii="Trebuchet MS" w:hAnsi="Trebuchet MS" w:cs="Arial"/>
          <w:sz w:val="23"/>
          <w:szCs w:val="23"/>
        </w:rPr>
      </w:pPr>
      <w:r w:rsidRPr="008E1E1A">
        <w:rPr>
          <w:rFonts w:ascii="Trebuchet MS" w:hAnsi="Trebuchet MS" w:cs="Arial"/>
          <w:sz w:val="23"/>
          <w:szCs w:val="23"/>
        </w:rPr>
        <w:t xml:space="preserve">Por otra parte, por el concepto de actividades específicas, la cantidad a distribuirse son $3,414,338.64 (tres millones cuatrocientos catorce mil trescientos treinta y ocho pesos 64/100 M.N.), que es el equivalente al tres por ciento de la cantidad que corresponde al monto total de financiamiento para actividades ordinarias permanentes. </w:t>
      </w:r>
    </w:p>
    <w:p w:rsidR="002528E9" w:rsidRPr="008E1E1A" w:rsidRDefault="002528E9" w:rsidP="00AC239C">
      <w:pPr>
        <w:spacing w:after="0"/>
        <w:jc w:val="both"/>
        <w:rPr>
          <w:rFonts w:ascii="Trebuchet MS" w:hAnsi="Trebuchet MS" w:cs="Arial"/>
          <w:sz w:val="23"/>
          <w:szCs w:val="23"/>
        </w:rPr>
      </w:pPr>
    </w:p>
    <w:p w:rsidR="00830084" w:rsidRPr="008E1E1A" w:rsidRDefault="00830084" w:rsidP="00AC239C">
      <w:pPr>
        <w:spacing w:after="0"/>
        <w:jc w:val="both"/>
        <w:rPr>
          <w:rFonts w:ascii="Trebuchet MS" w:hAnsi="Trebuchet MS" w:cs="Arial"/>
          <w:sz w:val="23"/>
          <w:szCs w:val="23"/>
        </w:rPr>
      </w:pPr>
      <w:r w:rsidRPr="008E1E1A">
        <w:rPr>
          <w:rFonts w:ascii="Trebuchet MS" w:hAnsi="Trebuchet MS" w:cs="Arial"/>
          <w:sz w:val="23"/>
          <w:szCs w:val="23"/>
        </w:rPr>
        <w:t>El monto del treinta por ciento es $1,024,301.59 (un millón veinticuatro mil trescientos un pesos 59/100 M.N.), que se deberá distribuir de manera igualitaria, entre los cinco partidos políticos nacionales, a saber, PAN, PRI, PVEM, MORENA y MC, es decir, se seguirá el mismo método de distribución utilizado para las actividades ordinarias permanentes. En cuanto al restante setenta por ciento de la bolsa de financiamiento para las actividades específicas que asciende a $2,390,037.05 (dos millones trescientos noventa mil treinta y siete pesos 05/100 M.N.), se repartirán las cantidades conforme al porcentaje de votación válida obtenido en la elección de diputados de mayoría relativa por cada partido político en el proceso electoral anterior.</w:t>
      </w:r>
    </w:p>
    <w:p w:rsidR="00830084" w:rsidRPr="008E1E1A" w:rsidRDefault="00830084" w:rsidP="00AC239C">
      <w:pPr>
        <w:spacing w:after="0"/>
        <w:jc w:val="both"/>
        <w:rPr>
          <w:rFonts w:ascii="Trebuchet MS" w:hAnsi="Trebuchet MS" w:cs="Arial"/>
          <w:sz w:val="23"/>
          <w:szCs w:val="23"/>
        </w:rPr>
      </w:pPr>
    </w:p>
    <w:p w:rsidR="00830084" w:rsidRPr="008E1E1A" w:rsidRDefault="00830084" w:rsidP="00AC239C">
      <w:pPr>
        <w:spacing w:after="0"/>
        <w:jc w:val="both"/>
        <w:rPr>
          <w:rFonts w:ascii="Trebuchet MS" w:hAnsi="Trebuchet MS" w:cs="Arial"/>
          <w:b/>
          <w:sz w:val="23"/>
          <w:szCs w:val="23"/>
          <w:u w:val="single"/>
        </w:rPr>
      </w:pPr>
      <w:r w:rsidRPr="008E1E1A">
        <w:rPr>
          <w:rFonts w:ascii="Trebuchet MS" w:hAnsi="Trebuchet MS" w:cs="Arial"/>
          <w:b/>
          <w:sz w:val="23"/>
          <w:szCs w:val="23"/>
          <w:u w:val="single"/>
        </w:rPr>
        <w:t>c) Partidos políticos locales (PPL)</w:t>
      </w:r>
    </w:p>
    <w:p w:rsidR="002528E9" w:rsidRPr="008E1E1A" w:rsidRDefault="002528E9" w:rsidP="00AC239C">
      <w:pPr>
        <w:spacing w:after="0"/>
        <w:jc w:val="both"/>
        <w:rPr>
          <w:rFonts w:ascii="Trebuchet MS" w:hAnsi="Trebuchet MS" w:cs="Arial"/>
          <w:b/>
          <w:sz w:val="23"/>
          <w:szCs w:val="23"/>
          <w:u w:val="single"/>
        </w:rPr>
      </w:pPr>
    </w:p>
    <w:p w:rsidR="00830084" w:rsidRPr="008E1E1A" w:rsidRDefault="00830084" w:rsidP="00AC239C">
      <w:pPr>
        <w:spacing w:after="0"/>
        <w:jc w:val="both"/>
        <w:rPr>
          <w:rFonts w:ascii="Trebuchet MS" w:hAnsi="Trebuchet MS" w:cs="Arial"/>
          <w:b/>
          <w:sz w:val="23"/>
          <w:szCs w:val="23"/>
          <w:u w:val="single"/>
        </w:rPr>
      </w:pPr>
      <w:r w:rsidRPr="008E1E1A">
        <w:rPr>
          <w:rFonts w:ascii="Trebuchet MS" w:hAnsi="Trebuchet MS" w:cs="Arial"/>
          <w:b/>
          <w:sz w:val="23"/>
          <w:szCs w:val="23"/>
          <w:u w:val="single"/>
        </w:rPr>
        <w:t>Actividades ordinarias permanentes (AOP)</w:t>
      </w:r>
    </w:p>
    <w:p w:rsidR="00830084" w:rsidRPr="008E1E1A" w:rsidRDefault="00830084" w:rsidP="00AC239C">
      <w:pPr>
        <w:spacing w:after="0"/>
        <w:jc w:val="both"/>
        <w:rPr>
          <w:rFonts w:ascii="Trebuchet MS" w:hAnsi="Trebuchet MS" w:cs="Arial"/>
          <w:sz w:val="23"/>
          <w:szCs w:val="23"/>
        </w:rPr>
      </w:pPr>
      <w:r w:rsidRPr="008E1E1A">
        <w:rPr>
          <w:rFonts w:ascii="Trebuchet MS" w:hAnsi="Trebuchet MS" w:cs="Arial"/>
          <w:sz w:val="23"/>
          <w:szCs w:val="23"/>
        </w:rPr>
        <w:t xml:space="preserve">Ahora bien, para repartir la bolsa de financiamiento público estatal de estos partidos, se deberá obtener el monto correspondiente por actividades ordinarias permanentes, que equivale a $369,886,685.73 (trescientos sesenta y nueve millones ochocientos ochenta y seis mil seiscientos ochenta y cinco pesos 73/100 M.N.), </w:t>
      </w:r>
      <w:r w:rsidR="00566405" w:rsidRPr="008E1E1A">
        <w:rPr>
          <w:rFonts w:ascii="Trebuchet MS" w:hAnsi="Trebuchet MS" w:cs="Arial"/>
          <w:sz w:val="23"/>
          <w:szCs w:val="23"/>
        </w:rPr>
        <w:t xml:space="preserve">conforme al cálculo visible en el anexo del presente acuerdo, </w:t>
      </w:r>
      <w:r w:rsidRPr="008E1E1A">
        <w:rPr>
          <w:rFonts w:ascii="Trebuchet MS" w:hAnsi="Trebuchet MS" w:cs="Arial"/>
          <w:sz w:val="23"/>
          <w:szCs w:val="23"/>
        </w:rPr>
        <w:t xml:space="preserve">de esa cantidad el treinta por ciento son $110,966,005.72 (ciento diez millones novecientos sesenta y seis mil cinco pesos 72/100 M.N.), y el setenta por ciento restante equivale a $258,920,680.01 (doscientos cincuenta y ocho millones novecientos veinte mil seiscientos ochenta pesos 01/100 M.N.)., </w:t>
      </w:r>
    </w:p>
    <w:p w:rsidR="00830084" w:rsidRPr="008E1E1A" w:rsidRDefault="00830084" w:rsidP="00AC239C">
      <w:pPr>
        <w:spacing w:after="0"/>
        <w:jc w:val="both"/>
        <w:rPr>
          <w:rFonts w:ascii="Trebuchet MS" w:hAnsi="Trebuchet MS" w:cs="Arial"/>
          <w:sz w:val="23"/>
          <w:szCs w:val="23"/>
        </w:rPr>
      </w:pPr>
    </w:p>
    <w:p w:rsidR="00830084" w:rsidRPr="008E1E1A" w:rsidRDefault="00830084" w:rsidP="00AC239C">
      <w:pPr>
        <w:spacing w:after="0"/>
        <w:jc w:val="both"/>
        <w:rPr>
          <w:rFonts w:ascii="Trebuchet MS" w:hAnsi="Trebuchet MS" w:cs="Arial"/>
          <w:b/>
          <w:bCs/>
          <w:sz w:val="23"/>
          <w:szCs w:val="23"/>
        </w:rPr>
      </w:pPr>
      <w:r w:rsidRPr="008E1E1A">
        <w:rPr>
          <w:rFonts w:ascii="Trebuchet MS" w:hAnsi="Trebuchet MS" w:cs="Arial"/>
          <w:b/>
          <w:bCs/>
          <w:sz w:val="23"/>
          <w:szCs w:val="23"/>
        </w:rPr>
        <w:t>La cantidad relativa al treinta por ciento, no se repartirá en partes iguales entre los partidos políticos locales con derecho a recibir financiamiento en el estado de Jalisco, esto es, dos partidos (HAGAMOS y FUTURO), ya que</w:t>
      </w:r>
      <w:r w:rsidR="00566405" w:rsidRPr="008E1E1A">
        <w:rPr>
          <w:rFonts w:ascii="Trebuchet MS" w:hAnsi="Trebuchet MS" w:cs="Arial"/>
          <w:b/>
          <w:bCs/>
          <w:sz w:val="23"/>
          <w:szCs w:val="23"/>
        </w:rPr>
        <w:t xml:space="preserve"> el Tribunal Electoral del Estado de Jalisco, en la sentencia a la que se da cumplimiento,</w:t>
      </w:r>
      <w:r w:rsidRPr="008E1E1A">
        <w:rPr>
          <w:rFonts w:ascii="Trebuchet MS" w:hAnsi="Trebuchet MS" w:cs="Arial"/>
          <w:b/>
          <w:bCs/>
          <w:sz w:val="23"/>
          <w:szCs w:val="23"/>
        </w:rPr>
        <w:t xml:space="preserve"> determinó que l</w:t>
      </w:r>
      <w:r w:rsidR="00566405" w:rsidRPr="008E1E1A">
        <w:rPr>
          <w:rFonts w:ascii="Trebuchet MS" w:hAnsi="Trebuchet MS" w:cs="Arial"/>
          <w:b/>
          <w:bCs/>
          <w:sz w:val="23"/>
          <w:szCs w:val="23"/>
        </w:rPr>
        <w:t>a distribución de esta cantidad</w:t>
      </w:r>
      <w:r w:rsidRPr="008E1E1A">
        <w:rPr>
          <w:rFonts w:ascii="Trebuchet MS" w:hAnsi="Trebuchet MS" w:cs="Arial"/>
          <w:b/>
          <w:bCs/>
          <w:sz w:val="23"/>
          <w:szCs w:val="23"/>
        </w:rPr>
        <w:t xml:space="preserve"> es la que genera la inequidad y desproporción en la distribución del financiamiento público estatal, entre los partidos políticos locales y los partidos políticos nacionales.</w:t>
      </w:r>
    </w:p>
    <w:p w:rsidR="00830084" w:rsidRPr="008E1E1A" w:rsidRDefault="00830084" w:rsidP="00AC239C">
      <w:pPr>
        <w:spacing w:after="0"/>
        <w:jc w:val="both"/>
        <w:rPr>
          <w:rFonts w:ascii="Trebuchet MS" w:hAnsi="Trebuchet MS" w:cs="Arial"/>
          <w:sz w:val="23"/>
          <w:szCs w:val="23"/>
        </w:rPr>
      </w:pPr>
    </w:p>
    <w:p w:rsidR="00830084" w:rsidRPr="008E1E1A" w:rsidRDefault="002528E9" w:rsidP="00AC239C">
      <w:pPr>
        <w:spacing w:after="0"/>
        <w:jc w:val="both"/>
        <w:rPr>
          <w:rFonts w:ascii="Trebuchet MS" w:hAnsi="Trebuchet MS" w:cs="Arial"/>
          <w:sz w:val="23"/>
          <w:szCs w:val="23"/>
        </w:rPr>
      </w:pPr>
      <w:r w:rsidRPr="008E1E1A">
        <w:rPr>
          <w:rFonts w:ascii="Trebuchet MS" w:hAnsi="Trebuchet MS" w:cs="Arial"/>
          <w:sz w:val="23"/>
          <w:szCs w:val="23"/>
        </w:rPr>
        <w:t>R</w:t>
      </w:r>
      <w:r w:rsidR="00830084" w:rsidRPr="008E1E1A">
        <w:rPr>
          <w:rFonts w:ascii="Trebuchet MS" w:hAnsi="Trebuchet MS" w:cs="Arial"/>
          <w:sz w:val="23"/>
          <w:szCs w:val="23"/>
        </w:rPr>
        <w:t>especto al restante setenta por ciento de la bolsa de financiamiento para las actividades ordinarias permanentes, se repartirán las cantidades correspondientes conforme al porcentaje de votación válida obtenido en la elección diputaciones de mayoría relativa por cada partido político en el proceso electoral</w:t>
      </w:r>
      <w:r w:rsidR="00C619DC" w:rsidRPr="008E1E1A">
        <w:rPr>
          <w:rFonts w:ascii="Trebuchet MS" w:hAnsi="Trebuchet MS" w:cs="Arial"/>
          <w:sz w:val="23"/>
          <w:szCs w:val="23"/>
        </w:rPr>
        <w:t xml:space="preserve"> anterior, en el entendido que el resto no será distribuido.</w:t>
      </w:r>
    </w:p>
    <w:p w:rsidR="00830084" w:rsidRPr="008E1E1A" w:rsidRDefault="00830084" w:rsidP="00AC239C">
      <w:pPr>
        <w:spacing w:after="0"/>
        <w:jc w:val="both"/>
        <w:rPr>
          <w:rFonts w:ascii="Trebuchet MS" w:hAnsi="Trebuchet MS" w:cs="Arial"/>
          <w:sz w:val="23"/>
          <w:szCs w:val="23"/>
        </w:rPr>
      </w:pPr>
    </w:p>
    <w:p w:rsidR="00830084" w:rsidRPr="008E1E1A" w:rsidRDefault="00830084" w:rsidP="00AC239C">
      <w:pPr>
        <w:spacing w:after="0"/>
        <w:jc w:val="both"/>
        <w:rPr>
          <w:rFonts w:ascii="Trebuchet MS" w:hAnsi="Trebuchet MS" w:cs="Arial"/>
          <w:b/>
          <w:sz w:val="23"/>
          <w:szCs w:val="23"/>
          <w:u w:val="single"/>
        </w:rPr>
      </w:pPr>
      <w:r w:rsidRPr="008E1E1A">
        <w:rPr>
          <w:rFonts w:ascii="Trebuchet MS" w:hAnsi="Trebuchet MS" w:cs="Arial"/>
          <w:b/>
          <w:sz w:val="23"/>
          <w:szCs w:val="23"/>
          <w:u w:val="single"/>
        </w:rPr>
        <w:t>Actividades específicas (AE)</w:t>
      </w:r>
    </w:p>
    <w:p w:rsidR="002528E9" w:rsidRPr="008E1E1A" w:rsidRDefault="00830084" w:rsidP="00AC239C">
      <w:pPr>
        <w:spacing w:after="0"/>
        <w:jc w:val="both"/>
        <w:rPr>
          <w:rFonts w:ascii="Trebuchet MS" w:hAnsi="Trebuchet MS" w:cs="Arial"/>
          <w:sz w:val="23"/>
          <w:szCs w:val="23"/>
        </w:rPr>
      </w:pPr>
      <w:r w:rsidRPr="008E1E1A">
        <w:rPr>
          <w:rFonts w:ascii="Trebuchet MS" w:hAnsi="Trebuchet MS" w:cs="Arial"/>
          <w:sz w:val="23"/>
          <w:szCs w:val="23"/>
        </w:rPr>
        <w:t xml:space="preserve">Con relación a las actividades específicas, la cantidad a distribuirse son $11,096,600.57 (once millones noventa y seis mil seiscientos pesos 57/100 M.N.), que es el equivalente al tres por ciento de la cantidad que corresponde al monto total de financiamiento para actividades ordinarias permanentes. </w:t>
      </w:r>
    </w:p>
    <w:p w:rsidR="002528E9" w:rsidRPr="008E1E1A" w:rsidRDefault="002528E9" w:rsidP="00AC239C">
      <w:pPr>
        <w:spacing w:after="0"/>
        <w:jc w:val="both"/>
        <w:rPr>
          <w:rFonts w:ascii="Trebuchet MS" w:hAnsi="Trebuchet MS" w:cs="Arial"/>
          <w:sz w:val="23"/>
          <w:szCs w:val="23"/>
        </w:rPr>
      </w:pPr>
    </w:p>
    <w:p w:rsidR="00830084" w:rsidRPr="008E1E1A" w:rsidRDefault="00830084" w:rsidP="00AC239C">
      <w:pPr>
        <w:spacing w:after="0"/>
        <w:jc w:val="both"/>
        <w:rPr>
          <w:rFonts w:ascii="Trebuchet MS" w:hAnsi="Trebuchet MS" w:cs="Arial"/>
          <w:sz w:val="23"/>
          <w:szCs w:val="23"/>
        </w:rPr>
      </w:pPr>
      <w:r w:rsidRPr="008E1E1A">
        <w:rPr>
          <w:rFonts w:ascii="Trebuchet MS" w:hAnsi="Trebuchet MS" w:cs="Arial"/>
          <w:b/>
          <w:sz w:val="23"/>
          <w:szCs w:val="23"/>
        </w:rPr>
        <w:t>La cantidad relativa al treinta por ciento, equivalente a $3,328,980.17 (tres millones trescientos veintiocho mil novecientos ochenta pesos 17/100 M.N.), no será distribuida de manera igualitaria entre los dos partidos políticos locales</w:t>
      </w:r>
      <w:r w:rsidR="00F43851" w:rsidRPr="008E1E1A">
        <w:rPr>
          <w:rFonts w:ascii="Trebuchet MS" w:hAnsi="Trebuchet MS" w:cs="Arial"/>
          <w:b/>
          <w:sz w:val="23"/>
          <w:szCs w:val="23"/>
        </w:rPr>
        <w:t>, de acuerdo con la resolución que nos ocupa</w:t>
      </w:r>
      <w:r w:rsidR="002528E9" w:rsidRPr="008E1E1A">
        <w:rPr>
          <w:rFonts w:ascii="Trebuchet MS" w:hAnsi="Trebuchet MS" w:cs="Arial"/>
          <w:sz w:val="23"/>
          <w:szCs w:val="23"/>
        </w:rPr>
        <w:t>. R</w:t>
      </w:r>
      <w:r w:rsidRPr="008E1E1A">
        <w:rPr>
          <w:rFonts w:ascii="Trebuchet MS" w:hAnsi="Trebuchet MS" w:cs="Arial"/>
          <w:sz w:val="23"/>
          <w:szCs w:val="23"/>
        </w:rPr>
        <w:t>especto al setenta por ciento restante de la bolsa de financiamiento para las actividades específicas que asciende a $7,767,620.40 (siete millones setecientos sesenta y siete mil seiscientos veinte pesos 40/100 M.N.), se distribuirán las cantidades correspondientes conforme al porcentaje de votación válida obtenido en la elección de diputaciones de mayoría relativa por cada partido po</w:t>
      </w:r>
      <w:r w:rsidR="002528E9" w:rsidRPr="008E1E1A">
        <w:rPr>
          <w:rFonts w:ascii="Trebuchet MS" w:hAnsi="Trebuchet MS" w:cs="Arial"/>
          <w:sz w:val="23"/>
          <w:szCs w:val="23"/>
        </w:rPr>
        <w:t xml:space="preserve">lítico </w:t>
      </w:r>
      <w:r w:rsidR="005611C9" w:rsidRPr="008E1E1A">
        <w:rPr>
          <w:rFonts w:ascii="Trebuchet MS" w:hAnsi="Trebuchet MS" w:cs="Arial"/>
          <w:sz w:val="23"/>
          <w:szCs w:val="23"/>
        </w:rPr>
        <w:t xml:space="preserve">local </w:t>
      </w:r>
      <w:r w:rsidR="002528E9" w:rsidRPr="008E1E1A">
        <w:rPr>
          <w:rFonts w:ascii="Trebuchet MS" w:hAnsi="Trebuchet MS" w:cs="Arial"/>
          <w:sz w:val="23"/>
          <w:szCs w:val="23"/>
        </w:rPr>
        <w:t>en el proceso electoral</w:t>
      </w:r>
      <w:r w:rsidR="005611C9" w:rsidRPr="008E1E1A">
        <w:rPr>
          <w:rFonts w:ascii="Trebuchet MS" w:hAnsi="Trebuchet MS" w:cs="Arial"/>
          <w:sz w:val="23"/>
          <w:szCs w:val="23"/>
        </w:rPr>
        <w:t xml:space="preserve"> anterior, dejando de distribuir la cantidad restante</w:t>
      </w:r>
      <w:r w:rsidR="002528E9" w:rsidRPr="008E1E1A">
        <w:rPr>
          <w:rFonts w:ascii="Trebuchet MS" w:hAnsi="Trebuchet MS" w:cs="Arial"/>
          <w:sz w:val="23"/>
          <w:szCs w:val="23"/>
        </w:rPr>
        <w:t>.</w:t>
      </w:r>
    </w:p>
    <w:p w:rsidR="00830084" w:rsidRPr="008E1E1A" w:rsidRDefault="00830084" w:rsidP="00AC239C">
      <w:pPr>
        <w:spacing w:after="0"/>
        <w:jc w:val="both"/>
        <w:rPr>
          <w:rFonts w:ascii="Trebuchet MS" w:hAnsi="Trebuchet MS" w:cs="Arial"/>
          <w:sz w:val="23"/>
          <w:szCs w:val="23"/>
        </w:rPr>
      </w:pPr>
    </w:p>
    <w:p w:rsidR="00830084" w:rsidRPr="008E1E1A" w:rsidRDefault="00830084" w:rsidP="00AC239C">
      <w:pPr>
        <w:spacing w:after="0"/>
        <w:jc w:val="both"/>
        <w:rPr>
          <w:rFonts w:ascii="Trebuchet MS" w:hAnsi="Trebuchet MS" w:cs="Arial"/>
          <w:b/>
          <w:sz w:val="23"/>
          <w:szCs w:val="23"/>
          <w:u w:val="single"/>
        </w:rPr>
      </w:pPr>
      <w:r w:rsidRPr="008E1E1A">
        <w:rPr>
          <w:rFonts w:ascii="Trebuchet MS" w:hAnsi="Trebuchet MS" w:cs="Arial"/>
          <w:b/>
          <w:sz w:val="23"/>
          <w:szCs w:val="23"/>
          <w:u w:val="single"/>
        </w:rPr>
        <w:t>d) Financiamiento público estatal a repartir entre los siete partidos políticos nacionales y locales</w:t>
      </w:r>
    </w:p>
    <w:p w:rsidR="00AC239C" w:rsidRPr="008E1E1A" w:rsidRDefault="00AC239C" w:rsidP="00AC239C">
      <w:pPr>
        <w:spacing w:after="0"/>
        <w:jc w:val="both"/>
        <w:rPr>
          <w:rFonts w:ascii="Trebuchet MS" w:hAnsi="Trebuchet MS" w:cs="Arial"/>
          <w:sz w:val="23"/>
          <w:szCs w:val="23"/>
        </w:rPr>
      </w:pPr>
    </w:p>
    <w:p w:rsidR="00830084" w:rsidRPr="008E1E1A" w:rsidRDefault="00830084" w:rsidP="00AC239C">
      <w:pPr>
        <w:spacing w:after="0"/>
        <w:jc w:val="both"/>
        <w:rPr>
          <w:rFonts w:ascii="Trebuchet MS" w:hAnsi="Trebuchet MS" w:cs="Arial"/>
          <w:sz w:val="23"/>
          <w:szCs w:val="23"/>
        </w:rPr>
      </w:pPr>
      <w:r w:rsidRPr="008E1E1A">
        <w:rPr>
          <w:rFonts w:ascii="Trebuchet MS" w:hAnsi="Trebuchet MS" w:cs="Arial"/>
          <w:sz w:val="23"/>
          <w:szCs w:val="23"/>
        </w:rPr>
        <w:t xml:space="preserve">Realizado lo anterior, se deberán sumar las cantidades que resulten en los incisos b) y c) anteriores, </w:t>
      </w:r>
      <w:r w:rsidR="00F96E2B" w:rsidRPr="008E1E1A">
        <w:rPr>
          <w:rFonts w:ascii="Trebuchet MS" w:hAnsi="Trebuchet MS" w:cs="Arial"/>
          <w:sz w:val="23"/>
          <w:szCs w:val="23"/>
        </w:rPr>
        <w:t xml:space="preserve">como se observa en el anexo de este acuerdo, </w:t>
      </w:r>
      <w:r w:rsidRPr="008E1E1A">
        <w:rPr>
          <w:rFonts w:ascii="Trebuchet MS" w:hAnsi="Trebuchet MS" w:cs="Arial"/>
          <w:sz w:val="23"/>
          <w:szCs w:val="23"/>
        </w:rPr>
        <w:t xml:space="preserve">dando como resultado la cantidad de </w:t>
      </w:r>
      <w:r w:rsidRPr="008E1E1A">
        <w:rPr>
          <w:rFonts w:ascii="Trebuchet MS" w:hAnsi="Trebuchet MS" w:cs="Arial"/>
          <w:b/>
          <w:bCs/>
          <w:sz w:val="23"/>
          <w:szCs w:val="23"/>
        </w:rPr>
        <w:t>$135,303,753.75 (ciento treinta y cinco millones trescientos tres mil, setecientos cincuenta y tres pesos 75/100 M.N.)</w:t>
      </w:r>
      <w:r w:rsidRPr="008E1E1A">
        <w:rPr>
          <w:rFonts w:ascii="Trebuchet MS" w:hAnsi="Trebuchet MS" w:cs="Arial"/>
          <w:sz w:val="23"/>
          <w:szCs w:val="23"/>
        </w:rPr>
        <w:t>, que será el monto que se distribuirá entre los siete partidos políticos nacionales y locales, a saber, PRI, PAN, PVEM, MORENA, MC, HAGAMOS y FUTURO con derecho a recibir financiamiento público estatal para el año dos mil veintidós.</w:t>
      </w:r>
    </w:p>
    <w:p w:rsidR="00830084" w:rsidRPr="008E1E1A" w:rsidRDefault="00830084" w:rsidP="00AC239C">
      <w:pPr>
        <w:spacing w:after="0"/>
        <w:jc w:val="both"/>
        <w:rPr>
          <w:rFonts w:ascii="Trebuchet MS" w:hAnsi="Trebuchet MS" w:cs="Arial"/>
          <w:sz w:val="23"/>
          <w:szCs w:val="23"/>
        </w:rPr>
      </w:pPr>
    </w:p>
    <w:p w:rsidR="002528E9" w:rsidRPr="008E1E1A" w:rsidRDefault="00830084" w:rsidP="00AC239C">
      <w:pPr>
        <w:spacing w:after="0"/>
        <w:jc w:val="both"/>
        <w:rPr>
          <w:rFonts w:ascii="Trebuchet MS" w:hAnsi="Trebuchet MS" w:cs="Arial"/>
          <w:sz w:val="23"/>
          <w:szCs w:val="23"/>
        </w:rPr>
      </w:pPr>
      <w:r w:rsidRPr="008E1E1A">
        <w:rPr>
          <w:rFonts w:ascii="Trebuchet MS" w:hAnsi="Trebuchet MS" w:cs="Arial"/>
          <w:sz w:val="23"/>
          <w:szCs w:val="23"/>
        </w:rPr>
        <w:t xml:space="preserve">De la cantidad precisada en el párrafo anterior, </w:t>
      </w:r>
      <w:r w:rsidRPr="008E1E1A">
        <w:rPr>
          <w:rFonts w:ascii="Trebuchet MS" w:hAnsi="Trebuchet MS" w:cs="Arial"/>
          <w:b/>
          <w:sz w:val="23"/>
          <w:szCs w:val="23"/>
        </w:rPr>
        <w:t>el monto relativo al treinta por ciento será distribuirá de manera igualitaria entre los mencionados siete partidos políticos</w:t>
      </w:r>
      <w:r w:rsidRPr="008E1E1A">
        <w:rPr>
          <w:rFonts w:ascii="Trebuchet MS" w:hAnsi="Trebuchet MS" w:cs="Arial"/>
          <w:sz w:val="23"/>
          <w:szCs w:val="23"/>
        </w:rPr>
        <w:t xml:space="preserve">, esto es, a cada partido le corresponderán $5,798,732.30 (cinco millones setecientos noventa y ocho mil setecientos treinta y dos pesos 30/100 M.N.). </w:t>
      </w:r>
    </w:p>
    <w:p w:rsidR="002528E9" w:rsidRPr="008E1E1A" w:rsidRDefault="002528E9" w:rsidP="00AC239C">
      <w:pPr>
        <w:spacing w:after="0"/>
        <w:jc w:val="both"/>
        <w:rPr>
          <w:rFonts w:ascii="Trebuchet MS" w:hAnsi="Trebuchet MS" w:cs="Arial"/>
          <w:sz w:val="23"/>
          <w:szCs w:val="23"/>
        </w:rPr>
      </w:pPr>
    </w:p>
    <w:p w:rsidR="00830084" w:rsidRPr="008E1E1A" w:rsidRDefault="00830084" w:rsidP="00AC239C">
      <w:pPr>
        <w:spacing w:after="0"/>
        <w:jc w:val="both"/>
        <w:rPr>
          <w:rFonts w:ascii="Trebuchet MS" w:hAnsi="Trebuchet MS" w:cs="Arial"/>
          <w:sz w:val="23"/>
          <w:szCs w:val="23"/>
        </w:rPr>
      </w:pPr>
      <w:r w:rsidRPr="008E1E1A">
        <w:rPr>
          <w:rFonts w:ascii="Trebuchet MS" w:hAnsi="Trebuchet MS" w:cs="Arial"/>
          <w:sz w:val="23"/>
          <w:szCs w:val="23"/>
        </w:rPr>
        <w:t>El restante setenta por ciento de la cantidad de financiamiento a distribuir que equivale a $94,712,627.62 (noventa y cuatro millones setecientos doce mil seiscientos veintisiete pesos 62/100 M.N.), se repartirán las cantidades correspondientes conforme al porcentaje de votación válida obtenido en la elección de diputaciones de mayoría relativa por cada partido político en el proceso electoral anterior.</w:t>
      </w:r>
    </w:p>
    <w:p w:rsidR="00830084" w:rsidRPr="008E1E1A" w:rsidRDefault="00830084" w:rsidP="00AC239C">
      <w:pPr>
        <w:spacing w:after="0"/>
        <w:jc w:val="both"/>
        <w:rPr>
          <w:rFonts w:ascii="Trebuchet MS" w:hAnsi="Trebuchet MS" w:cs="Arial"/>
          <w:sz w:val="23"/>
          <w:szCs w:val="23"/>
        </w:rPr>
      </w:pPr>
    </w:p>
    <w:p w:rsidR="00830084" w:rsidRPr="008E1E1A" w:rsidRDefault="00830084" w:rsidP="00AC239C">
      <w:pPr>
        <w:spacing w:after="0"/>
        <w:jc w:val="both"/>
        <w:rPr>
          <w:rFonts w:ascii="Trebuchet MS" w:hAnsi="Trebuchet MS" w:cs="Arial"/>
          <w:sz w:val="23"/>
          <w:szCs w:val="23"/>
        </w:rPr>
      </w:pPr>
      <w:r w:rsidRPr="008E1E1A">
        <w:rPr>
          <w:rFonts w:ascii="Trebuchet MS" w:hAnsi="Trebuchet MS" w:cs="Arial"/>
          <w:sz w:val="23"/>
          <w:szCs w:val="23"/>
        </w:rPr>
        <w:t>Lo anterior fue plasmado por la autoridad jurisdiccional local en una tabla, en la cual se concentran las cantidades que a cada uno de los partidos políticos les corresponde como financiamiento público para el año dos mil veintidós, así, en la tercera columna se asientan las cifras correspondientes por el treinta por ciento de manera igualitaria, en la cuarta columna las relativas al setenta por ciento repartido de manera proporcional al porcentaje de la votación obtenida por los partidos, y en la quinta columna, se observa el monto total anual que corresponde a cada partido como financiamiento público, que es el resultado de la suma de las cantidades indicadas en las columnas tercera y cuarta de la tabla.</w:t>
      </w:r>
    </w:p>
    <w:p w:rsidR="00874337" w:rsidRPr="00264F98" w:rsidRDefault="00874337" w:rsidP="00AC239C">
      <w:pPr>
        <w:spacing w:after="0"/>
        <w:jc w:val="both"/>
        <w:rPr>
          <w:rFonts w:ascii="Trebuchet MS" w:hAnsi="Trebuchet MS" w:cs="Arial"/>
          <w:sz w:val="24"/>
          <w:szCs w:val="24"/>
        </w:rPr>
      </w:pPr>
    </w:p>
    <w:p w:rsidR="00830084" w:rsidRPr="00264F98" w:rsidRDefault="00830084" w:rsidP="00AC239C">
      <w:pPr>
        <w:spacing w:after="0"/>
        <w:jc w:val="center"/>
        <w:rPr>
          <w:rFonts w:ascii="Trebuchet MS" w:hAnsi="Trebuchet MS" w:cs="Arial"/>
          <w:sz w:val="24"/>
          <w:szCs w:val="24"/>
        </w:rPr>
      </w:pPr>
      <w:r w:rsidRPr="00264F98">
        <w:rPr>
          <w:rFonts w:ascii="Trebuchet MS" w:hAnsi="Trebuchet MS" w:cs="Arial"/>
          <w:noProof/>
          <w:sz w:val="24"/>
          <w:szCs w:val="24"/>
        </w:rPr>
        <w:drawing>
          <wp:inline distT="0" distB="0" distL="0" distR="0" wp14:anchorId="7984FACC" wp14:editId="7D966CB3">
            <wp:extent cx="5406887" cy="4810539"/>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3290" t="14848" r="23760" b="20394"/>
                    <a:stretch/>
                  </pic:blipFill>
                  <pic:spPr bwMode="auto">
                    <a:xfrm>
                      <a:off x="0" y="0"/>
                      <a:ext cx="5413724" cy="4816622"/>
                    </a:xfrm>
                    <a:prstGeom prst="rect">
                      <a:avLst/>
                    </a:prstGeom>
                    <a:ln>
                      <a:noFill/>
                    </a:ln>
                    <a:extLst>
                      <a:ext uri="{53640926-AAD7-44D8-BBD7-CCE9431645EC}">
                        <a14:shadowObscured xmlns:a14="http://schemas.microsoft.com/office/drawing/2010/main"/>
                      </a:ext>
                    </a:extLst>
                  </pic:spPr>
                </pic:pic>
              </a:graphicData>
            </a:graphic>
          </wp:inline>
        </w:drawing>
      </w:r>
    </w:p>
    <w:p w:rsidR="002528E9" w:rsidRPr="00264F98" w:rsidRDefault="002528E9" w:rsidP="00AC239C">
      <w:pPr>
        <w:spacing w:after="0"/>
        <w:jc w:val="both"/>
        <w:rPr>
          <w:rFonts w:ascii="Trebuchet MS" w:hAnsi="Trebuchet MS" w:cs="Arial"/>
          <w:sz w:val="24"/>
          <w:szCs w:val="24"/>
        </w:rPr>
      </w:pPr>
    </w:p>
    <w:p w:rsidR="000A2A1C" w:rsidRPr="008E1E1A" w:rsidRDefault="00830084" w:rsidP="008D7DAE">
      <w:pPr>
        <w:pStyle w:val="Sinespaciado"/>
        <w:jc w:val="both"/>
        <w:rPr>
          <w:rFonts w:ascii="Trebuchet MS" w:hAnsi="Trebuchet MS" w:cs="Arial"/>
          <w:sz w:val="23"/>
          <w:szCs w:val="23"/>
        </w:rPr>
      </w:pPr>
      <w:r w:rsidRPr="008E1E1A">
        <w:rPr>
          <w:rFonts w:ascii="Trebuchet MS" w:hAnsi="Trebuchet MS" w:cs="Arial"/>
          <w:sz w:val="23"/>
          <w:szCs w:val="23"/>
        </w:rPr>
        <w:t>Es necesario precisar que, los montos referidos en la tabla anterior contemplan tanto el financiamiento para actividades ordinarias como para actividades específicas, por lo que este Consejo en acatamiento a lo establecido en la sentencia determinó las cantidades que corresponde a cada partido político por financiamiento, conforme al ANEXO que forma parte integral de este acuerdo.</w:t>
      </w:r>
      <w:r w:rsidR="008D7DAE" w:rsidRPr="008E1E1A">
        <w:rPr>
          <w:rFonts w:ascii="Trebuchet MS" w:hAnsi="Trebuchet MS" w:cs="Arial"/>
          <w:sz w:val="23"/>
          <w:szCs w:val="23"/>
        </w:rPr>
        <w:t xml:space="preserve"> </w:t>
      </w:r>
    </w:p>
    <w:p w:rsidR="000A2A1C" w:rsidRPr="008E1E1A" w:rsidRDefault="000A2A1C" w:rsidP="008D7DAE">
      <w:pPr>
        <w:pStyle w:val="Sinespaciado"/>
        <w:jc w:val="both"/>
        <w:rPr>
          <w:rFonts w:ascii="Trebuchet MS" w:hAnsi="Trebuchet MS" w:cs="Arial"/>
          <w:sz w:val="23"/>
          <w:szCs w:val="23"/>
        </w:rPr>
      </w:pPr>
    </w:p>
    <w:p w:rsidR="008D7DAE" w:rsidRPr="008E1E1A" w:rsidRDefault="000A2A1C" w:rsidP="008D7DAE">
      <w:pPr>
        <w:pStyle w:val="Sinespaciado"/>
        <w:jc w:val="both"/>
        <w:rPr>
          <w:rFonts w:ascii="Trebuchet MS" w:hAnsi="Trebuchet MS"/>
          <w:color w:val="000000"/>
          <w:sz w:val="23"/>
          <w:szCs w:val="23"/>
          <w:lang w:val="es-ES_tradnl"/>
        </w:rPr>
      </w:pPr>
      <w:r w:rsidRPr="00D66B7E">
        <w:rPr>
          <w:rFonts w:ascii="Trebuchet MS" w:hAnsi="Trebuchet MS" w:cs="Arial"/>
          <w:sz w:val="23"/>
          <w:szCs w:val="23"/>
        </w:rPr>
        <w:t xml:space="preserve">Por otra parte, </w:t>
      </w:r>
      <w:r w:rsidR="00FB5179" w:rsidRPr="00D66B7E">
        <w:rPr>
          <w:rFonts w:ascii="Trebuchet MS" w:hAnsi="Trebuchet MS" w:cs="Arial"/>
          <w:sz w:val="23"/>
          <w:szCs w:val="23"/>
        </w:rPr>
        <w:t xml:space="preserve">de conformidad con lo establecido por el artículo 89, párrafo 2 del Código Electoral del Estado de Jalisco, en relación con </w:t>
      </w:r>
      <w:r w:rsidR="008D7DAE" w:rsidRPr="00D66B7E">
        <w:rPr>
          <w:rFonts w:ascii="Trebuchet MS" w:hAnsi="Trebuchet MS"/>
          <w:color w:val="000000"/>
          <w:sz w:val="23"/>
          <w:szCs w:val="23"/>
          <w:lang w:val="es-ES_tradnl"/>
        </w:rPr>
        <w:t xml:space="preserve">la fracción V del artículo 51 de la Ley General de Partidos Políticos </w:t>
      </w:r>
      <w:r w:rsidR="00FB5179" w:rsidRPr="00D66B7E">
        <w:rPr>
          <w:rFonts w:ascii="Trebuchet MS" w:hAnsi="Trebuchet MS"/>
          <w:color w:val="000000"/>
          <w:sz w:val="23"/>
          <w:szCs w:val="23"/>
          <w:lang w:val="es-ES_tradnl"/>
        </w:rPr>
        <w:t xml:space="preserve">se destinará anualmente el tres por ciento del financiamiento público ordinario que reciba cada partido político  </w:t>
      </w:r>
      <w:r w:rsidR="008D7DAE" w:rsidRPr="00D66B7E">
        <w:rPr>
          <w:rFonts w:ascii="Trebuchet MS" w:hAnsi="Trebuchet MS"/>
          <w:color w:val="000000"/>
          <w:sz w:val="23"/>
          <w:szCs w:val="23"/>
          <w:lang w:val="es-ES_tradnl"/>
        </w:rPr>
        <w:t>para la capacitación, promoción y desarrollo del li</w:t>
      </w:r>
      <w:r w:rsidR="00FB5179" w:rsidRPr="00D66B7E">
        <w:rPr>
          <w:rFonts w:ascii="Trebuchet MS" w:hAnsi="Trebuchet MS"/>
          <w:color w:val="000000"/>
          <w:sz w:val="23"/>
          <w:szCs w:val="23"/>
          <w:lang w:val="es-ES_tradnl"/>
        </w:rPr>
        <w:t>derazgo político de las mujeres</w:t>
      </w:r>
      <w:r w:rsidR="006F06EB" w:rsidRPr="00D66B7E">
        <w:rPr>
          <w:rFonts w:ascii="Trebuchet MS" w:hAnsi="Trebuchet MS"/>
          <w:color w:val="000000"/>
          <w:sz w:val="23"/>
          <w:szCs w:val="23"/>
          <w:lang w:val="es-ES_tradnl"/>
        </w:rPr>
        <w:t>,</w:t>
      </w:r>
      <w:r w:rsidR="00FE6021">
        <w:rPr>
          <w:rFonts w:ascii="Trebuchet MS" w:hAnsi="Trebuchet MS"/>
          <w:color w:val="000000"/>
          <w:sz w:val="23"/>
          <w:szCs w:val="23"/>
          <w:lang w:val="es-ES_tradnl"/>
        </w:rPr>
        <w:t xml:space="preserve"> en tal virtud, este Consejo General determinó las cantidades que cada partido político deberá designar para este fin,</w:t>
      </w:r>
      <w:bookmarkStart w:id="0" w:name="_GoBack"/>
      <w:bookmarkEnd w:id="0"/>
      <w:r w:rsidR="006F06EB" w:rsidRPr="00D66B7E">
        <w:rPr>
          <w:rFonts w:ascii="Trebuchet MS" w:hAnsi="Trebuchet MS"/>
          <w:color w:val="000000"/>
          <w:sz w:val="23"/>
          <w:szCs w:val="23"/>
          <w:lang w:val="es-ES_tradnl"/>
        </w:rPr>
        <w:t xml:space="preserve"> lo cual se refleja en la tabla identificada con el número 8.3 del ANEXO de este acuerdo</w:t>
      </w:r>
      <w:r w:rsidR="008D7DAE" w:rsidRPr="00D66B7E">
        <w:rPr>
          <w:rFonts w:ascii="Trebuchet MS" w:hAnsi="Trebuchet MS"/>
          <w:color w:val="000000"/>
          <w:sz w:val="23"/>
          <w:szCs w:val="23"/>
          <w:lang w:val="es-ES_tradnl"/>
        </w:rPr>
        <w:t>.</w:t>
      </w:r>
    </w:p>
    <w:p w:rsidR="00AC239C" w:rsidRPr="008E1E1A" w:rsidRDefault="00AC239C" w:rsidP="00AC239C">
      <w:pPr>
        <w:spacing w:after="0"/>
        <w:jc w:val="both"/>
        <w:rPr>
          <w:rFonts w:ascii="Trebuchet MS" w:hAnsi="Trebuchet MS" w:cs="Arial"/>
          <w:sz w:val="23"/>
          <w:szCs w:val="23"/>
        </w:rPr>
      </w:pPr>
    </w:p>
    <w:p w:rsidR="00AC239C" w:rsidRPr="008E1E1A" w:rsidRDefault="00AC239C" w:rsidP="00AC239C">
      <w:pPr>
        <w:spacing w:after="0"/>
        <w:jc w:val="both"/>
        <w:rPr>
          <w:rFonts w:ascii="Trebuchet MS" w:hAnsi="Trebuchet MS" w:cs="Arial"/>
          <w:sz w:val="23"/>
          <w:szCs w:val="23"/>
        </w:rPr>
      </w:pPr>
      <w:r w:rsidRPr="008E1E1A">
        <w:rPr>
          <w:rFonts w:ascii="Trebuchet MS" w:hAnsi="Trebuchet MS" w:cs="Arial"/>
          <w:sz w:val="23"/>
          <w:szCs w:val="23"/>
        </w:rPr>
        <w:t xml:space="preserve">Finalmente, y dado que ya se han entregado diversas ministraciones mensuales del financiamiento público a los partidos políticos, se instruye al Secretario </w:t>
      </w:r>
      <w:r w:rsidR="002828F6" w:rsidRPr="008E1E1A">
        <w:rPr>
          <w:rFonts w:ascii="Trebuchet MS" w:hAnsi="Trebuchet MS" w:cs="Arial"/>
          <w:sz w:val="23"/>
          <w:szCs w:val="23"/>
        </w:rPr>
        <w:t xml:space="preserve">Ejecutivo </w:t>
      </w:r>
      <w:r w:rsidRPr="008E1E1A">
        <w:rPr>
          <w:rFonts w:ascii="Trebuchet MS" w:hAnsi="Trebuchet MS" w:cs="Arial"/>
          <w:sz w:val="23"/>
          <w:szCs w:val="23"/>
        </w:rPr>
        <w:t>a que realice los ajustes correspondientes.</w:t>
      </w:r>
    </w:p>
    <w:p w:rsidR="00AC239C" w:rsidRPr="008E1E1A" w:rsidRDefault="00AC239C" w:rsidP="00AC239C">
      <w:pPr>
        <w:spacing w:after="0"/>
        <w:jc w:val="both"/>
        <w:rPr>
          <w:rFonts w:ascii="Trebuchet MS" w:hAnsi="Trebuchet MS" w:cs="Arial"/>
          <w:sz w:val="23"/>
          <w:szCs w:val="23"/>
        </w:rPr>
      </w:pPr>
    </w:p>
    <w:p w:rsidR="00115A4F" w:rsidRPr="008E1E1A" w:rsidRDefault="00115A4F" w:rsidP="00AC239C">
      <w:pPr>
        <w:spacing w:after="0"/>
        <w:jc w:val="both"/>
        <w:rPr>
          <w:rFonts w:ascii="Trebuchet MS" w:eastAsia="Times New Roman" w:hAnsi="Trebuchet MS" w:cs="Arial"/>
          <w:sz w:val="23"/>
          <w:szCs w:val="23"/>
          <w:lang w:eastAsia="ar-SA"/>
        </w:rPr>
      </w:pPr>
      <w:r w:rsidRPr="008E1E1A">
        <w:rPr>
          <w:rFonts w:ascii="Trebuchet MS" w:hAnsi="Trebuchet MS" w:cs="Arial"/>
          <w:sz w:val="23"/>
          <w:szCs w:val="23"/>
        </w:rPr>
        <w:t>Por lo anteriormente</w:t>
      </w:r>
      <w:r w:rsidRPr="008E1E1A">
        <w:rPr>
          <w:rFonts w:ascii="Trebuchet MS" w:eastAsia="Times New Roman" w:hAnsi="Trebuchet MS" w:cs="Arial"/>
          <w:sz w:val="23"/>
          <w:szCs w:val="23"/>
          <w:lang w:eastAsia="ar-SA"/>
        </w:rPr>
        <w:t xml:space="preserve"> fundado y motivado, con base en las consideraciones precedentes, </w:t>
      </w:r>
      <w:r w:rsidRPr="008E1E1A">
        <w:rPr>
          <w:rFonts w:ascii="Trebuchet MS" w:eastAsia="Times New Roman" w:hAnsi="Trebuchet MS" w:cs="Arial"/>
          <w:kern w:val="2"/>
          <w:sz w:val="23"/>
          <w:szCs w:val="23"/>
          <w:lang w:eastAsia="ar-SA"/>
        </w:rPr>
        <w:t>se</w:t>
      </w:r>
      <w:r w:rsidRPr="008E1E1A">
        <w:rPr>
          <w:rFonts w:ascii="Trebuchet MS" w:eastAsia="Times New Roman" w:hAnsi="Trebuchet MS" w:cs="Arial"/>
          <w:sz w:val="23"/>
          <w:szCs w:val="23"/>
          <w:lang w:eastAsia="ar-SA"/>
        </w:rPr>
        <w:t xml:space="preserve"> proponen los siguientes puntos de</w:t>
      </w:r>
    </w:p>
    <w:p w:rsidR="00115A4F" w:rsidRPr="008E1E1A" w:rsidRDefault="00115A4F" w:rsidP="00AC239C">
      <w:pPr>
        <w:autoSpaceDE w:val="0"/>
        <w:autoSpaceDN w:val="0"/>
        <w:adjustRightInd w:val="0"/>
        <w:spacing w:after="0"/>
        <w:jc w:val="both"/>
        <w:rPr>
          <w:rFonts w:ascii="Trebuchet MS" w:hAnsi="Trebuchet MS" w:cs="Arial"/>
          <w:sz w:val="23"/>
          <w:szCs w:val="23"/>
        </w:rPr>
      </w:pPr>
    </w:p>
    <w:p w:rsidR="00115A4F" w:rsidRPr="008E1E1A" w:rsidRDefault="00115A4F" w:rsidP="00AC239C">
      <w:pPr>
        <w:suppressAutoHyphens/>
        <w:spacing w:after="0"/>
        <w:jc w:val="center"/>
        <w:rPr>
          <w:rFonts w:ascii="Trebuchet MS" w:eastAsia="Times New Roman" w:hAnsi="Trebuchet MS" w:cs="Arial"/>
          <w:b/>
          <w:sz w:val="23"/>
          <w:szCs w:val="23"/>
          <w:lang w:val="pt-BR" w:eastAsia="ar-SA"/>
        </w:rPr>
      </w:pPr>
      <w:r w:rsidRPr="008E1E1A">
        <w:rPr>
          <w:rFonts w:ascii="Trebuchet MS" w:eastAsia="Times New Roman" w:hAnsi="Trebuchet MS" w:cs="Arial"/>
          <w:b/>
          <w:sz w:val="23"/>
          <w:szCs w:val="23"/>
          <w:lang w:val="pt-BR" w:eastAsia="ar-SA"/>
        </w:rPr>
        <w:t>A C U E R D O</w:t>
      </w:r>
    </w:p>
    <w:p w:rsidR="00115A4F" w:rsidRPr="008E1E1A" w:rsidRDefault="00115A4F" w:rsidP="00AC239C">
      <w:pPr>
        <w:suppressAutoHyphens/>
        <w:spacing w:after="0"/>
        <w:jc w:val="center"/>
        <w:rPr>
          <w:rFonts w:ascii="Trebuchet MS" w:eastAsia="Times New Roman" w:hAnsi="Trebuchet MS" w:cs="Arial"/>
          <w:b/>
          <w:sz w:val="23"/>
          <w:szCs w:val="23"/>
          <w:lang w:val="pt-BR" w:eastAsia="ar-SA"/>
        </w:rPr>
      </w:pPr>
    </w:p>
    <w:p w:rsidR="00D92ACC" w:rsidRPr="008E1E1A" w:rsidRDefault="00115A4F" w:rsidP="00AC239C">
      <w:pPr>
        <w:pStyle w:val="Sinespaciado"/>
        <w:spacing w:line="276" w:lineRule="auto"/>
        <w:jc w:val="both"/>
        <w:rPr>
          <w:rFonts w:ascii="Trebuchet MS" w:hAnsi="Trebuchet MS" w:cs="Arial"/>
          <w:bCs/>
          <w:color w:val="000000"/>
          <w:sz w:val="23"/>
          <w:szCs w:val="23"/>
          <w:lang w:val="es-ES_tradnl"/>
        </w:rPr>
      </w:pPr>
      <w:r w:rsidRPr="008E1E1A">
        <w:rPr>
          <w:rFonts w:ascii="Trebuchet MS" w:eastAsia="Times New Roman" w:hAnsi="Trebuchet MS" w:cs="Arial"/>
          <w:b/>
          <w:sz w:val="23"/>
          <w:szCs w:val="23"/>
          <w:lang w:val="pt-BR" w:eastAsia="es-ES"/>
        </w:rPr>
        <w:t>PRIMERO.</w:t>
      </w:r>
      <w:r w:rsidRPr="008E1E1A">
        <w:rPr>
          <w:rFonts w:ascii="Trebuchet MS" w:eastAsia="Times New Roman" w:hAnsi="Trebuchet MS" w:cs="Arial"/>
          <w:sz w:val="23"/>
          <w:szCs w:val="23"/>
          <w:lang w:val="pt-BR" w:eastAsia="es-ES"/>
        </w:rPr>
        <w:t xml:space="preserve"> </w:t>
      </w:r>
      <w:r w:rsidR="00D92ACC" w:rsidRPr="008E1E1A">
        <w:rPr>
          <w:rFonts w:ascii="Trebuchet MS" w:hAnsi="Trebuchet MS" w:cs="Arial"/>
          <w:bCs/>
          <w:color w:val="000000"/>
          <w:sz w:val="23"/>
          <w:szCs w:val="23"/>
          <w:lang w:val="es-ES_tradnl"/>
        </w:rPr>
        <w:t>Se aprueban los montos de financiamiento público para los partidos políticos nacionales y locales en términos del considerando VII del presente acuerdo y su ANEXO, para actividades ordinarias y específicas, del ejercicio fiscal del año dos mil veintidós.</w:t>
      </w:r>
    </w:p>
    <w:p w:rsidR="00D92ACC" w:rsidRPr="008E1E1A" w:rsidRDefault="00D92ACC" w:rsidP="00AC239C">
      <w:pPr>
        <w:suppressAutoHyphens/>
        <w:autoSpaceDE w:val="0"/>
        <w:spacing w:after="0"/>
        <w:jc w:val="both"/>
        <w:rPr>
          <w:rFonts w:ascii="Trebuchet MS" w:eastAsia="Times New Roman" w:hAnsi="Trebuchet MS" w:cs="Arial"/>
          <w:b/>
          <w:sz w:val="23"/>
          <w:szCs w:val="23"/>
          <w:lang w:eastAsia="ar-SA"/>
        </w:rPr>
      </w:pPr>
    </w:p>
    <w:p w:rsidR="00D92ACC" w:rsidRPr="008E1E1A" w:rsidRDefault="002B68EC" w:rsidP="00AC239C">
      <w:pPr>
        <w:suppressAutoHyphens/>
        <w:autoSpaceDE w:val="0"/>
        <w:spacing w:after="0"/>
        <w:jc w:val="both"/>
        <w:rPr>
          <w:rFonts w:ascii="Trebuchet MS" w:eastAsia="Times New Roman" w:hAnsi="Trebuchet MS" w:cs="Arial"/>
          <w:sz w:val="23"/>
          <w:szCs w:val="23"/>
          <w:lang w:eastAsia="ar-SA"/>
        </w:rPr>
      </w:pPr>
      <w:r w:rsidRPr="008E1E1A">
        <w:rPr>
          <w:rFonts w:ascii="Trebuchet MS" w:eastAsia="Times New Roman" w:hAnsi="Trebuchet MS" w:cs="Arial"/>
          <w:b/>
          <w:sz w:val="23"/>
          <w:szCs w:val="23"/>
          <w:lang w:eastAsia="ar-SA"/>
        </w:rPr>
        <w:t>SEGUNDO.</w:t>
      </w:r>
      <w:r w:rsidRPr="008E1E1A">
        <w:rPr>
          <w:rFonts w:ascii="Trebuchet MS" w:eastAsia="Times New Roman" w:hAnsi="Trebuchet MS" w:cs="Arial"/>
          <w:sz w:val="23"/>
          <w:szCs w:val="23"/>
          <w:lang w:eastAsia="ar-SA"/>
        </w:rPr>
        <w:t xml:space="preserve"> </w:t>
      </w:r>
      <w:r w:rsidR="00D92ACC" w:rsidRPr="008E1E1A">
        <w:rPr>
          <w:rFonts w:ascii="Trebuchet MS" w:hAnsi="Trebuchet MS" w:cs="Arial"/>
          <w:color w:val="000000"/>
          <w:sz w:val="23"/>
          <w:szCs w:val="23"/>
          <w:lang w:val="es-ES_tradnl"/>
        </w:rPr>
        <w:t>Se ordena entregar el financiamiento local a los partidos políticos nacionales y locales en los términos precisados en el considerando VII de este acuerdo y su ANEXO</w:t>
      </w:r>
      <w:r w:rsidRPr="008E1E1A">
        <w:rPr>
          <w:rFonts w:ascii="Trebuchet MS" w:eastAsia="Times New Roman" w:hAnsi="Trebuchet MS" w:cs="Arial"/>
          <w:sz w:val="23"/>
          <w:szCs w:val="23"/>
          <w:lang w:eastAsia="ar-SA"/>
        </w:rPr>
        <w:t>.</w:t>
      </w:r>
    </w:p>
    <w:p w:rsidR="00D92ACC" w:rsidRPr="008E1E1A" w:rsidRDefault="00D92ACC" w:rsidP="00AC239C">
      <w:pPr>
        <w:suppressAutoHyphens/>
        <w:autoSpaceDE w:val="0"/>
        <w:spacing w:after="0"/>
        <w:jc w:val="both"/>
        <w:rPr>
          <w:rFonts w:ascii="Trebuchet MS" w:eastAsia="Times New Roman" w:hAnsi="Trebuchet MS" w:cs="Arial"/>
          <w:sz w:val="23"/>
          <w:szCs w:val="23"/>
          <w:lang w:eastAsia="ar-SA"/>
        </w:rPr>
      </w:pPr>
    </w:p>
    <w:p w:rsidR="00D92ACC" w:rsidRPr="008E1E1A" w:rsidRDefault="00D92ACC" w:rsidP="00AC239C">
      <w:pPr>
        <w:pStyle w:val="Sinespaciado"/>
        <w:spacing w:line="276" w:lineRule="auto"/>
        <w:jc w:val="both"/>
        <w:rPr>
          <w:rFonts w:ascii="Trebuchet MS" w:hAnsi="Trebuchet MS" w:cs="Arial"/>
          <w:color w:val="000000"/>
          <w:sz w:val="23"/>
          <w:szCs w:val="23"/>
          <w:lang w:val="es-ES_tradnl"/>
        </w:rPr>
      </w:pPr>
      <w:r w:rsidRPr="008E1E1A">
        <w:rPr>
          <w:rFonts w:ascii="Trebuchet MS" w:hAnsi="Trebuchet MS" w:cs="Arial"/>
          <w:b/>
          <w:bCs/>
          <w:color w:val="000000"/>
          <w:sz w:val="23"/>
          <w:szCs w:val="23"/>
          <w:lang w:val="es-ES_tradnl"/>
        </w:rPr>
        <w:t xml:space="preserve">TERCERO. </w:t>
      </w:r>
      <w:r w:rsidRPr="008E1E1A">
        <w:rPr>
          <w:rFonts w:ascii="Trebuchet MS" w:hAnsi="Trebuchet MS" w:cs="Arial"/>
          <w:color w:val="000000"/>
          <w:sz w:val="23"/>
          <w:szCs w:val="23"/>
          <w:lang w:val="es-ES_tradnl"/>
        </w:rPr>
        <w:t>Los montos de financiamiento referidos, deberán otorgarse mediante ministraciones mensuales conforme a los importes expresados en el considerando VII de este acuerdo y su ANEXO.</w:t>
      </w:r>
    </w:p>
    <w:p w:rsidR="0065433E" w:rsidRPr="008E1E1A" w:rsidRDefault="0065433E" w:rsidP="00AC239C">
      <w:pPr>
        <w:pStyle w:val="Sinespaciado"/>
        <w:spacing w:line="276" w:lineRule="auto"/>
        <w:jc w:val="both"/>
        <w:rPr>
          <w:rFonts w:ascii="Trebuchet MS" w:hAnsi="Trebuchet MS" w:cs="Arial"/>
          <w:color w:val="000000"/>
          <w:sz w:val="23"/>
          <w:szCs w:val="23"/>
          <w:lang w:val="es-ES_tradnl"/>
        </w:rPr>
      </w:pPr>
    </w:p>
    <w:p w:rsidR="0065433E" w:rsidRPr="008E1E1A" w:rsidRDefault="0065433E" w:rsidP="00AC239C">
      <w:pPr>
        <w:pStyle w:val="Sinespaciado"/>
        <w:spacing w:line="276" w:lineRule="auto"/>
        <w:jc w:val="both"/>
        <w:rPr>
          <w:rFonts w:ascii="Trebuchet MS" w:hAnsi="Trebuchet MS" w:cs="Arial"/>
          <w:b/>
          <w:bCs/>
          <w:color w:val="000000"/>
          <w:sz w:val="23"/>
          <w:szCs w:val="23"/>
          <w:lang w:val="es-ES_tradnl"/>
        </w:rPr>
      </w:pPr>
      <w:r w:rsidRPr="008E1E1A">
        <w:rPr>
          <w:rFonts w:ascii="Trebuchet MS" w:hAnsi="Trebuchet MS" w:cs="Arial"/>
          <w:b/>
          <w:color w:val="000000"/>
          <w:sz w:val="23"/>
          <w:szCs w:val="23"/>
          <w:lang w:val="es-ES_tradnl"/>
        </w:rPr>
        <w:t>CUARTO.</w:t>
      </w:r>
      <w:r w:rsidRPr="008E1E1A">
        <w:rPr>
          <w:rFonts w:ascii="Trebuchet MS" w:hAnsi="Trebuchet MS" w:cs="Arial"/>
          <w:color w:val="000000"/>
          <w:sz w:val="23"/>
          <w:szCs w:val="23"/>
          <w:lang w:val="es-ES_tradnl"/>
        </w:rPr>
        <w:t xml:space="preserve"> Se instruye al Secretario Ejecutivo a realizar los ajuste</w:t>
      </w:r>
      <w:r w:rsidR="002828F6" w:rsidRPr="008E1E1A">
        <w:rPr>
          <w:rFonts w:ascii="Trebuchet MS" w:hAnsi="Trebuchet MS" w:cs="Arial"/>
          <w:color w:val="000000"/>
          <w:sz w:val="23"/>
          <w:szCs w:val="23"/>
          <w:lang w:val="es-ES_tradnl"/>
        </w:rPr>
        <w:t>s</w:t>
      </w:r>
      <w:r w:rsidRPr="008E1E1A">
        <w:rPr>
          <w:rFonts w:ascii="Trebuchet MS" w:hAnsi="Trebuchet MS" w:cs="Arial"/>
          <w:color w:val="000000"/>
          <w:sz w:val="23"/>
          <w:szCs w:val="23"/>
          <w:lang w:val="es-ES_tradnl"/>
        </w:rPr>
        <w:t xml:space="preserve"> correspondientes derivados de las ministraciones ya realizadas. </w:t>
      </w:r>
    </w:p>
    <w:p w:rsidR="00D92ACC" w:rsidRPr="008E1E1A" w:rsidRDefault="00D92ACC" w:rsidP="00AC239C">
      <w:pPr>
        <w:pStyle w:val="Prrafodelista"/>
        <w:spacing w:after="0"/>
        <w:ind w:left="0"/>
        <w:rPr>
          <w:rFonts w:ascii="Trebuchet MS" w:hAnsi="Trebuchet MS" w:cs="Arial"/>
          <w:b/>
          <w:bCs/>
          <w:sz w:val="23"/>
          <w:szCs w:val="23"/>
          <w:lang w:val="es-ES_tradnl"/>
        </w:rPr>
      </w:pPr>
      <w:r w:rsidRPr="008E1E1A">
        <w:rPr>
          <w:rFonts w:ascii="Trebuchet MS" w:hAnsi="Trebuchet MS" w:cs="Arial"/>
          <w:b/>
          <w:bCs/>
          <w:sz w:val="23"/>
          <w:szCs w:val="23"/>
          <w:lang w:val="es-ES_tradnl"/>
        </w:rPr>
        <w:t xml:space="preserve"> </w:t>
      </w:r>
    </w:p>
    <w:p w:rsidR="00D92ACC" w:rsidRPr="008E1E1A" w:rsidRDefault="0065433E" w:rsidP="00AC239C">
      <w:pPr>
        <w:pStyle w:val="Prrafodelista"/>
        <w:spacing w:after="0"/>
        <w:ind w:left="0"/>
        <w:jc w:val="both"/>
        <w:rPr>
          <w:rFonts w:ascii="Trebuchet MS" w:hAnsi="Trebuchet MS" w:cs="Arial"/>
          <w:sz w:val="23"/>
          <w:szCs w:val="23"/>
          <w:lang w:val="es-ES_tradnl"/>
        </w:rPr>
      </w:pPr>
      <w:r w:rsidRPr="008E1E1A">
        <w:rPr>
          <w:rFonts w:ascii="Trebuchet MS" w:hAnsi="Trebuchet MS" w:cs="Arial"/>
          <w:b/>
          <w:bCs/>
          <w:sz w:val="23"/>
          <w:szCs w:val="23"/>
          <w:lang w:val="es-ES_tradnl"/>
        </w:rPr>
        <w:t>QUIN</w:t>
      </w:r>
      <w:r w:rsidR="00D92ACC" w:rsidRPr="008E1E1A">
        <w:rPr>
          <w:rFonts w:ascii="Trebuchet MS" w:hAnsi="Trebuchet MS" w:cs="Arial"/>
          <w:b/>
          <w:bCs/>
          <w:sz w:val="23"/>
          <w:szCs w:val="23"/>
          <w:lang w:val="es-ES_tradnl"/>
        </w:rPr>
        <w:t xml:space="preserve">TO. </w:t>
      </w:r>
      <w:r w:rsidR="00D92ACC" w:rsidRPr="008E1E1A">
        <w:rPr>
          <w:rFonts w:ascii="Trebuchet MS" w:hAnsi="Trebuchet MS" w:cs="Arial"/>
          <w:sz w:val="23"/>
          <w:szCs w:val="23"/>
          <w:lang w:val="es-ES_tradnl"/>
        </w:rPr>
        <w:t>D</w:t>
      </w:r>
      <w:r w:rsidR="002828F6" w:rsidRPr="008E1E1A">
        <w:rPr>
          <w:rFonts w:ascii="Trebuchet MS" w:hAnsi="Trebuchet MS" w:cs="Arial"/>
          <w:sz w:val="23"/>
          <w:szCs w:val="23"/>
          <w:lang w:val="es-ES_tradnl"/>
        </w:rPr>
        <w:t>e</w:t>
      </w:r>
      <w:r w:rsidR="00D92ACC" w:rsidRPr="008E1E1A">
        <w:rPr>
          <w:rFonts w:ascii="Trebuchet MS" w:hAnsi="Trebuchet MS" w:cs="Arial"/>
          <w:sz w:val="23"/>
          <w:szCs w:val="23"/>
          <w:lang w:val="es-ES_tradnl"/>
        </w:rPr>
        <w:t xml:space="preserve">se vista al Congreso del Estado de Jalisco y al </w:t>
      </w:r>
      <w:r w:rsidR="00952B42" w:rsidRPr="008E1E1A">
        <w:rPr>
          <w:rFonts w:ascii="Trebuchet MS" w:hAnsi="Trebuchet MS" w:cs="Arial"/>
          <w:sz w:val="23"/>
          <w:szCs w:val="23"/>
          <w:lang w:val="es-ES_tradnl"/>
        </w:rPr>
        <w:t>titular del Poder Ejecutivo</w:t>
      </w:r>
      <w:r w:rsidR="00D92ACC" w:rsidRPr="008E1E1A">
        <w:rPr>
          <w:rFonts w:ascii="Trebuchet MS" w:hAnsi="Trebuchet MS" w:cs="Arial"/>
          <w:sz w:val="23"/>
          <w:szCs w:val="23"/>
          <w:lang w:val="es-ES_tradnl"/>
        </w:rPr>
        <w:t>, a efecto de colaboren con esta autoridad electoral</w:t>
      </w:r>
      <w:r w:rsidR="00952B42" w:rsidRPr="008E1E1A">
        <w:rPr>
          <w:rFonts w:ascii="Trebuchet MS" w:hAnsi="Trebuchet MS" w:cs="Arial"/>
          <w:sz w:val="23"/>
          <w:szCs w:val="23"/>
          <w:lang w:val="es-ES_tradnl"/>
        </w:rPr>
        <w:t xml:space="preserve"> para</w:t>
      </w:r>
      <w:r w:rsidR="00D92ACC" w:rsidRPr="008E1E1A">
        <w:rPr>
          <w:rFonts w:ascii="Trebuchet MS" w:hAnsi="Trebuchet MS" w:cs="Arial"/>
          <w:sz w:val="23"/>
          <w:szCs w:val="23"/>
          <w:lang w:val="es-ES_tradnl"/>
        </w:rPr>
        <w:t xml:space="preserve"> llevar a cabo las diligencias necesarias para generar la suficiencia presupuestaria a efecto de cubrir de forma oportuna el financiamiento que corresponde a los partidos políticos nac</w:t>
      </w:r>
      <w:r w:rsidR="00952B42" w:rsidRPr="008E1E1A">
        <w:rPr>
          <w:rFonts w:ascii="Trebuchet MS" w:hAnsi="Trebuchet MS" w:cs="Arial"/>
          <w:sz w:val="23"/>
          <w:szCs w:val="23"/>
          <w:lang w:val="es-ES_tradnl"/>
        </w:rPr>
        <w:t xml:space="preserve">ionales con acreditación en el </w:t>
      </w:r>
      <w:r w:rsidR="002828F6" w:rsidRPr="008E1E1A">
        <w:rPr>
          <w:rFonts w:ascii="Trebuchet MS" w:hAnsi="Trebuchet MS" w:cs="Arial"/>
          <w:sz w:val="23"/>
          <w:szCs w:val="23"/>
          <w:lang w:val="es-ES_tradnl"/>
        </w:rPr>
        <w:t>E</w:t>
      </w:r>
      <w:r w:rsidR="00D92ACC" w:rsidRPr="008E1E1A">
        <w:rPr>
          <w:rFonts w:ascii="Trebuchet MS" w:hAnsi="Trebuchet MS" w:cs="Arial"/>
          <w:sz w:val="23"/>
          <w:szCs w:val="23"/>
          <w:lang w:val="es-ES_tradnl"/>
        </w:rPr>
        <w:t>stado y a los locales con registro que corresponda, conforme a las cantidades y términos expresados en el presente acuerdo.</w:t>
      </w:r>
    </w:p>
    <w:p w:rsidR="00D338AC" w:rsidRPr="008E1E1A" w:rsidRDefault="00D338AC" w:rsidP="00AC239C">
      <w:pPr>
        <w:pStyle w:val="Prrafodelista"/>
        <w:spacing w:after="0"/>
        <w:ind w:left="0"/>
        <w:jc w:val="both"/>
        <w:rPr>
          <w:rFonts w:ascii="Trebuchet MS" w:hAnsi="Trebuchet MS" w:cs="Arial"/>
          <w:sz w:val="23"/>
          <w:szCs w:val="23"/>
          <w:lang w:val="es-ES_tradnl"/>
        </w:rPr>
      </w:pPr>
    </w:p>
    <w:p w:rsidR="007C3AC0" w:rsidRPr="008E1E1A" w:rsidRDefault="0065433E" w:rsidP="00AC239C">
      <w:pPr>
        <w:suppressAutoHyphens/>
        <w:autoSpaceDE w:val="0"/>
        <w:spacing w:after="0"/>
        <w:jc w:val="both"/>
        <w:rPr>
          <w:rFonts w:ascii="Trebuchet MS" w:eastAsia="Times New Roman" w:hAnsi="Trebuchet MS" w:cs="Arial"/>
          <w:sz w:val="23"/>
          <w:szCs w:val="23"/>
          <w:lang w:eastAsia="ar-SA"/>
        </w:rPr>
      </w:pPr>
      <w:r w:rsidRPr="008E1E1A">
        <w:rPr>
          <w:rFonts w:ascii="Trebuchet MS" w:eastAsia="Times New Roman" w:hAnsi="Trebuchet MS" w:cs="Arial"/>
          <w:b/>
          <w:sz w:val="23"/>
          <w:szCs w:val="23"/>
          <w:lang w:eastAsia="ar-SA"/>
        </w:rPr>
        <w:t>SEX</w:t>
      </w:r>
      <w:r w:rsidR="00D338AC" w:rsidRPr="008E1E1A">
        <w:rPr>
          <w:rFonts w:ascii="Trebuchet MS" w:eastAsia="Times New Roman" w:hAnsi="Trebuchet MS" w:cs="Arial"/>
          <w:b/>
          <w:sz w:val="23"/>
          <w:szCs w:val="23"/>
          <w:lang w:eastAsia="ar-SA"/>
        </w:rPr>
        <w:t>TO</w:t>
      </w:r>
      <w:r w:rsidR="002B68EC" w:rsidRPr="008E1E1A">
        <w:rPr>
          <w:rFonts w:ascii="Trebuchet MS" w:eastAsia="Times New Roman" w:hAnsi="Trebuchet MS" w:cs="Arial"/>
          <w:b/>
          <w:sz w:val="23"/>
          <w:szCs w:val="23"/>
          <w:lang w:eastAsia="ar-SA"/>
        </w:rPr>
        <w:t>.</w:t>
      </w:r>
      <w:r w:rsidR="002B68EC" w:rsidRPr="008E1E1A">
        <w:rPr>
          <w:rFonts w:ascii="Trebuchet MS" w:eastAsia="Times New Roman" w:hAnsi="Trebuchet MS" w:cs="Arial"/>
          <w:sz w:val="23"/>
          <w:szCs w:val="23"/>
          <w:lang w:eastAsia="ar-SA"/>
        </w:rPr>
        <w:t xml:space="preserve"> </w:t>
      </w:r>
      <w:r w:rsidR="000360F3" w:rsidRPr="008E1E1A">
        <w:rPr>
          <w:rFonts w:ascii="Trebuchet MS" w:eastAsia="Times New Roman" w:hAnsi="Trebuchet MS" w:cs="Arial"/>
          <w:sz w:val="23"/>
          <w:szCs w:val="23"/>
          <w:lang w:eastAsia="es-ES"/>
        </w:rPr>
        <w:t xml:space="preserve">Hágase del conocimiento el presente acuerdo al Tribunal Electoral del Estado de Jalisco, a efecto de informar sobre el cumplimiento realizado a la resolución relativa al </w:t>
      </w:r>
      <w:r w:rsidR="00865E3C" w:rsidRPr="008E1E1A">
        <w:rPr>
          <w:rFonts w:ascii="Trebuchet MS" w:eastAsia="Times New Roman" w:hAnsi="Trebuchet MS" w:cs="Arial"/>
          <w:sz w:val="23"/>
          <w:szCs w:val="23"/>
          <w:lang w:eastAsia="es-ES"/>
        </w:rPr>
        <w:t>recurso de apelación RAP-056/2021 y sus acumulados RAP-001/2022, RAP-002/2022 y RAP-005/2022</w:t>
      </w:r>
      <w:r w:rsidR="000360F3" w:rsidRPr="008E1E1A">
        <w:rPr>
          <w:rFonts w:ascii="Trebuchet MS" w:eastAsia="Times New Roman" w:hAnsi="Trebuchet MS" w:cs="Arial"/>
          <w:sz w:val="23"/>
          <w:szCs w:val="23"/>
          <w:lang w:eastAsia="es-ES"/>
        </w:rPr>
        <w:t>.</w:t>
      </w:r>
    </w:p>
    <w:p w:rsidR="007F383E" w:rsidRPr="008E1E1A" w:rsidRDefault="007F383E" w:rsidP="00AC239C">
      <w:pPr>
        <w:suppressAutoHyphens/>
        <w:autoSpaceDE w:val="0"/>
        <w:spacing w:after="0"/>
        <w:jc w:val="both"/>
        <w:rPr>
          <w:rFonts w:ascii="Trebuchet MS" w:eastAsia="Times New Roman" w:hAnsi="Trebuchet MS" w:cs="Arial"/>
          <w:color w:val="000000"/>
          <w:sz w:val="23"/>
          <w:szCs w:val="23"/>
          <w:lang w:eastAsia="ar-SA"/>
        </w:rPr>
      </w:pPr>
    </w:p>
    <w:p w:rsidR="005D7D09" w:rsidRPr="008E1E1A" w:rsidRDefault="0065433E" w:rsidP="00AC239C">
      <w:pPr>
        <w:spacing w:after="0"/>
        <w:jc w:val="both"/>
        <w:rPr>
          <w:rFonts w:ascii="Trebuchet MS" w:hAnsi="Trebuchet MS" w:cs="Arial"/>
          <w:sz w:val="23"/>
          <w:szCs w:val="23"/>
        </w:rPr>
      </w:pPr>
      <w:r w:rsidRPr="008E1E1A">
        <w:rPr>
          <w:rFonts w:ascii="Trebuchet MS" w:eastAsia="Calibri" w:hAnsi="Trebuchet MS" w:cs="Arial"/>
          <w:b/>
          <w:sz w:val="23"/>
          <w:szCs w:val="23"/>
        </w:rPr>
        <w:t>SÉPTIMO</w:t>
      </w:r>
      <w:r w:rsidR="002B68EC" w:rsidRPr="008E1E1A">
        <w:rPr>
          <w:rFonts w:ascii="Trebuchet MS" w:eastAsia="Calibri" w:hAnsi="Trebuchet MS" w:cs="Arial"/>
          <w:b/>
          <w:sz w:val="23"/>
          <w:szCs w:val="23"/>
        </w:rPr>
        <w:t>.</w:t>
      </w:r>
      <w:r w:rsidR="002B68EC" w:rsidRPr="008E1E1A">
        <w:rPr>
          <w:rFonts w:ascii="Trebuchet MS" w:eastAsia="Calibri" w:hAnsi="Trebuchet MS" w:cs="Arial"/>
          <w:sz w:val="23"/>
          <w:szCs w:val="23"/>
        </w:rPr>
        <w:t xml:space="preserve"> </w:t>
      </w:r>
      <w:r w:rsidR="000360F3" w:rsidRPr="008E1E1A">
        <w:rPr>
          <w:rFonts w:ascii="Trebuchet MS" w:eastAsia="Times New Roman" w:hAnsi="Trebuchet MS" w:cs="Arial"/>
          <w:sz w:val="23"/>
          <w:szCs w:val="23"/>
        </w:rPr>
        <w:t xml:space="preserve">Hágase del conocimiento del Instituto Nacional Electoral el presente acuerdo, a través </w:t>
      </w:r>
      <w:r w:rsidR="000360F3" w:rsidRPr="008E1E1A">
        <w:rPr>
          <w:rFonts w:ascii="Trebuchet MS" w:eastAsia="Trebuchet MS" w:hAnsi="Trebuchet MS" w:cs="Arial"/>
          <w:sz w:val="23"/>
          <w:szCs w:val="23"/>
        </w:rPr>
        <w:t>del Sistema de Vinculación con los Organismos Públicos Locales Electorales</w:t>
      </w:r>
      <w:r w:rsidR="000360F3" w:rsidRPr="008E1E1A">
        <w:rPr>
          <w:rFonts w:ascii="Trebuchet MS" w:eastAsia="Times New Roman" w:hAnsi="Trebuchet MS" w:cs="Arial"/>
          <w:sz w:val="23"/>
          <w:szCs w:val="23"/>
        </w:rPr>
        <w:t>, para los efectos correspondientes.</w:t>
      </w:r>
    </w:p>
    <w:p w:rsidR="005D7D09" w:rsidRPr="008E1E1A" w:rsidRDefault="005D7D09" w:rsidP="00AC239C">
      <w:pPr>
        <w:spacing w:after="0"/>
        <w:jc w:val="both"/>
        <w:rPr>
          <w:rFonts w:ascii="Trebuchet MS" w:eastAsia="Times New Roman" w:hAnsi="Trebuchet MS" w:cs="Arial"/>
          <w:sz w:val="23"/>
          <w:szCs w:val="23"/>
          <w:lang w:eastAsia="ar-SA"/>
        </w:rPr>
      </w:pPr>
    </w:p>
    <w:p w:rsidR="00115A4F" w:rsidRPr="008E1E1A" w:rsidRDefault="0065433E" w:rsidP="00AC239C">
      <w:pPr>
        <w:spacing w:after="0"/>
        <w:jc w:val="both"/>
        <w:rPr>
          <w:rFonts w:ascii="Trebuchet MS" w:eastAsia="Times New Roman" w:hAnsi="Trebuchet MS" w:cs="Arial"/>
          <w:sz w:val="23"/>
          <w:szCs w:val="23"/>
        </w:rPr>
      </w:pPr>
      <w:r w:rsidRPr="008E1E1A">
        <w:rPr>
          <w:rFonts w:ascii="Trebuchet MS" w:eastAsia="Times New Roman" w:hAnsi="Trebuchet MS" w:cs="Arial"/>
          <w:b/>
          <w:sz w:val="23"/>
          <w:szCs w:val="23"/>
        </w:rPr>
        <w:t>OCTAVO</w:t>
      </w:r>
      <w:r w:rsidR="002B68EC" w:rsidRPr="008E1E1A">
        <w:rPr>
          <w:rFonts w:ascii="Trebuchet MS" w:eastAsia="Times New Roman" w:hAnsi="Trebuchet MS" w:cs="Arial"/>
          <w:b/>
          <w:sz w:val="23"/>
          <w:szCs w:val="23"/>
        </w:rPr>
        <w:t>.</w:t>
      </w:r>
      <w:r w:rsidR="002B68EC" w:rsidRPr="008E1E1A">
        <w:rPr>
          <w:rFonts w:ascii="Trebuchet MS" w:eastAsia="Times New Roman" w:hAnsi="Trebuchet MS" w:cs="Arial"/>
          <w:sz w:val="23"/>
          <w:szCs w:val="23"/>
        </w:rPr>
        <w:t xml:space="preserve"> </w:t>
      </w:r>
      <w:r w:rsidR="000360F3" w:rsidRPr="008E1E1A">
        <w:rPr>
          <w:rFonts w:ascii="Trebuchet MS" w:eastAsia="Times New Roman" w:hAnsi="Trebuchet MS" w:cs="Arial"/>
          <w:sz w:val="23"/>
          <w:szCs w:val="23"/>
        </w:rPr>
        <w:t xml:space="preserve">Notifíquese el contenido de este acuerdo a </w:t>
      </w:r>
      <w:r w:rsidR="000360F3" w:rsidRPr="008E1E1A">
        <w:rPr>
          <w:rFonts w:ascii="Trebuchet MS" w:hAnsi="Trebuchet MS" w:cs="Arial"/>
          <w:sz w:val="23"/>
          <w:szCs w:val="23"/>
        </w:rPr>
        <w:t>l</w:t>
      </w:r>
      <w:r w:rsidR="000360F3" w:rsidRPr="008E1E1A">
        <w:rPr>
          <w:rFonts w:ascii="Trebuchet MS" w:eastAsia="Times New Roman" w:hAnsi="Trebuchet MS" w:cs="Arial"/>
          <w:sz w:val="23"/>
          <w:szCs w:val="23"/>
        </w:rPr>
        <w:t>os partidos políticos registrados y acreditados, mediante el correo electrónico registrado en este Instituto y publíquese en el Periódico Oficial “El Estado de Jalisco”, así como en la página oficial de internet de este Instituto.</w:t>
      </w:r>
    </w:p>
    <w:p w:rsidR="006F2083" w:rsidRPr="008E1E1A" w:rsidRDefault="006F2083" w:rsidP="00AC239C">
      <w:pPr>
        <w:spacing w:after="0"/>
        <w:jc w:val="both"/>
        <w:rPr>
          <w:rFonts w:ascii="Trebuchet MS" w:eastAsia="Times New Roman" w:hAnsi="Trebuchet MS" w:cs="Arial"/>
          <w:sz w:val="23"/>
          <w:szCs w:val="23"/>
        </w:rPr>
      </w:pPr>
    </w:p>
    <w:p w:rsidR="006F2083" w:rsidRPr="008E1E1A" w:rsidRDefault="0065433E" w:rsidP="00AC239C">
      <w:pPr>
        <w:spacing w:after="0"/>
        <w:jc w:val="center"/>
        <w:rPr>
          <w:rFonts w:ascii="Trebuchet MS" w:hAnsi="Trebuchet MS" w:cs="Arial"/>
          <w:kern w:val="18"/>
          <w:sz w:val="23"/>
          <w:szCs w:val="23"/>
          <w:lang w:eastAsia="es-ES"/>
        </w:rPr>
      </w:pPr>
      <w:r w:rsidRPr="008E1E1A">
        <w:rPr>
          <w:rFonts w:ascii="Trebuchet MS" w:hAnsi="Trebuchet MS" w:cs="Arial"/>
          <w:kern w:val="18"/>
          <w:sz w:val="23"/>
          <w:szCs w:val="23"/>
          <w:lang w:eastAsia="es-ES"/>
        </w:rPr>
        <w:t>Guadalajara, Jalisco; treinta</w:t>
      </w:r>
      <w:r w:rsidR="006F2083" w:rsidRPr="008E1E1A">
        <w:rPr>
          <w:rFonts w:ascii="Trebuchet MS" w:hAnsi="Trebuchet MS" w:cs="Arial"/>
          <w:kern w:val="18"/>
          <w:sz w:val="23"/>
          <w:szCs w:val="23"/>
          <w:lang w:eastAsia="es-ES"/>
        </w:rPr>
        <w:t xml:space="preserve"> de marzo de 2022.</w:t>
      </w:r>
    </w:p>
    <w:p w:rsidR="006F2083" w:rsidRPr="008E1E1A" w:rsidRDefault="006F2083" w:rsidP="00AC239C">
      <w:pPr>
        <w:spacing w:after="0"/>
        <w:jc w:val="center"/>
        <w:rPr>
          <w:rFonts w:ascii="Trebuchet MS" w:hAnsi="Trebuchet MS" w:cs="Arial"/>
          <w:kern w:val="18"/>
          <w:sz w:val="23"/>
          <w:szCs w:val="23"/>
          <w:lang w:eastAsia="es-ES"/>
        </w:rPr>
      </w:pPr>
    </w:p>
    <w:p w:rsidR="0060661C" w:rsidRPr="008E1E1A" w:rsidRDefault="0060661C" w:rsidP="00AC239C">
      <w:pPr>
        <w:spacing w:after="0"/>
        <w:jc w:val="center"/>
        <w:rPr>
          <w:rFonts w:ascii="Trebuchet MS" w:hAnsi="Trebuchet MS" w:cs="Arial"/>
          <w:kern w:val="18"/>
          <w:sz w:val="23"/>
          <w:szCs w:val="23"/>
          <w:lang w:eastAsia="es-ES"/>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6F2083" w:rsidRPr="008E1E1A" w:rsidTr="0058583A">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6F2083" w:rsidRPr="008E1E1A" w:rsidTr="0058583A">
              <w:tc>
                <w:tcPr>
                  <w:tcW w:w="5070" w:type="dxa"/>
                  <w:shd w:val="clear" w:color="auto" w:fill="auto"/>
                </w:tcPr>
                <w:p w:rsidR="006F2083" w:rsidRPr="008E1E1A" w:rsidRDefault="006F2083" w:rsidP="0060661C">
                  <w:pPr>
                    <w:pStyle w:val="Sinespaciado"/>
                    <w:jc w:val="center"/>
                    <w:rPr>
                      <w:rFonts w:ascii="Trebuchet MS" w:hAnsi="Trebuchet MS" w:cs="Arial"/>
                      <w:kern w:val="18"/>
                      <w:sz w:val="23"/>
                      <w:szCs w:val="23"/>
                    </w:rPr>
                  </w:pPr>
                </w:p>
                <w:p w:rsidR="006F2083" w:rsidRPr="008E1E1A" w:rsidRDefault="005E5674" w:rsidP="0060661C">
                  <w:pPr>
                    <w:pStyle w:val="Sinespaciado"/>
                    <w:jc w:val="center"/>
                    <w:rPr>
                      <w:rFonts w:ascii="Trebuchet MS" w:hAnsi="Trebuchet MS" w:cs="Arial"/>
                      <w:kern w:val="18"/>
                      <w:sz w:val="23"/>
                      <w:szCs w:val="23"/>
                    </w:rPr>
                  </w:pPr>
                  <w:r w:rsidRPr="008E1E1A">
                    <w:rPr>
                      <w:rFonts w:ascii="Trebuchet MS" w:hAnsi="Trebuchet MS" w:cs="Arial"/>
                      <w:kern w:val="18"/>
                      <w:sz w:val="23"/>
                      <w:szCs w:val="23"/>
                    </w:rPr>
                    <w:t xml:space="preserve">Mtra. </w:t>
                  </w:r>
                  <w:r w:rsidR="006F2083" w:rsidRPr="008E1E1A">
                    <w:rPr>
                      <w:rFonts w:ascii="Trebuchet MS" w:hAnsi="Trebuchet MS" w:cs="Arial"/>
                      <w:kern w:val="18"/>
                      <w:sz w:val="23"/>
                      <w:szCs w:val="23"/>
                    </w:rPr>
                    <w:t>Paula Ramírez Höhne</w:t>
                  </w:r>
                </w:p>
                <w:p w:rsidR="006F2083" w:rsidRPr="008E1E1A" w:rsidRDefault="006F2083" w:rsidP="0060661C">
                  <w:pPr>
                    <w:pStyle w:val="Sinespaciado"/>
                    <w:jc w:val="center"/>
                    <w:rPr>
                      <w:rFonts w:ascii="Trebuchet MS" w:hAnsi="Trebuchet MS" w:cs="Arial"/>
                      <w:kern w:val="18"/>
                      <w:sz w:val="23"/>
                      <w:szCs w:val="23"/>
                    </w:rPr>
                  </w:pPr>
                  <w:r w:rsidRPr="008E1E1A">
                    <w:rPr>
                      <w:rFonts w:ascii="Trebuchet MS" w:hAnsi="Trebuchet MS" w:cs="Arial"/>
                      <w:kern w:val="18"/>
                      <w:sz w:val="23"/>
                      <w:szCs w:val="23"/>
                    </w:rPr>
                    <w:t>La consejera presidenta</w:t>
                  </w:r>
                </w:p>
              </w:tc>
              <w:tc>
                <w:tcPr>
                  <w:tcW w:w="5137" w:type="dxa"/>
                  <w:shd w:val="clear" w:color="auto" w:fill="auto"/>
                </w:tcPr>
                <w:p w:rsidR="006F2083" w:rsidRPr="008E1E1A" w:rsidRDefault="006F2083" w:rsidP="0060661C">
                  <w:pPr>
                    <w:pStyle w:val="Sinespaciado"/>
                    <w:jc w:val="center"/>
                    <w:rPr>
                      <w:rFonts w:ascii="Trebuchet MS" w:hAnsi="Trebuchet MS" w:cs="Arial"/>
                      <w:kern w:val="18"/>
                      <w:sz w:val="23"/>
                      <w:szCs w:val="23"/>
                    </w:rPr>
                  </w:pPr>
                </w:p>
                <w:p w:rsidR="006F2083" w:rsidRPr="008E1E1A" w:rsidRDefault="006F2083" w:rsidP="0060661C">
                  <w:pPr>
                    <w:pStyle w:val="Sinespaciado"/>
                    <w:jc w:val="center"/>
                    <w:rPr>
                      <w:rFonts w:ascii="Trebuchet MS" w:hAnsi="Trebuchet MS" w:cs="Arial"/>
                      <w:kern w:val="18"/>
                      <w:sz w:val="23"/>
                      <w:szCs w:val="23"/>
                    </w:rPr>
                  </w:pPr>
                  <w:r w:rsidRPr="008E1E1A">
                    <w:rPr>
                      <w:rFonts w:ascii="Trebuchet MS" w:hAnsi="Trebuchet MS" w:cs="Arial"/>
                      <w:kern w:val="18"/>
                      <w:sz w:val="23"/>
                      <w:szCs w:val="23"/>
                    </w:rPr>
                    <w:t>Mtro. Christian Flores Garza</w:t>
                  </w:r>
                </w:p>
                <w:p w:rsidR="006F2083" w:rsidRPr="008E1E1A" w:rsidRDefault="006F2083" w:rsidP="0060661C">
                  <w:pPr>
                    <w:pStyle w:val="Sinespaciado"/>
                    <w:jc w:val="center"/>
                    <w:rPr>
                      <w:rFonts w:ascii="Trebuchet MS" w:hAnsi="Trebuchet MS" w:cs="Arial"/>
                      <w:kern w:val="18"/>
                      <w:sz w:val="23"/>
                      <w:szCs w:val="23"/>
                    </w:rPr>
                  </w:pPr>
                  <w:r w:rsidRPr="008E1E1A">
                    <w:rPr>
                      <w:rFonts w:ascii="Trebuchet MS" w:hAnsi="Trebuchet MS" w:cs="Arial"/>
                      <w:kern w:val="18"/>
                      <w:sz w:val="23"/>
                      <w:szCs w:val="23"/>
                    </w:rPr>
                    <w:t>El secretario ejecutivo</w:t>
                  </w:r>
                </w:p>
              </w:tc>
            </w:tr>
          </w:tbl>
          <w:p w:rsidR="006F2083" w:rsidRPr="008E1E1A" w:rsidRDefault="006F2083" w:rsidP="00AC239C">
            <w:pPr>
              <w:pStyle w:val="Sinespaciado"/>
              <w:spacing w:line="276" w:lineRule="auto"/>
              <w:jc w:val="center"/>
              <w:rPr>
                <w:rFonts w:ascii="Trebuchet MS" w:hAnsi="Trebuchet MS" w:cs="Arial"/>
                <w:kern w:val="18"/>
                <w:sz w:val="23"/>
                <w:szCs w:val="23"/>
              </w:rPr>
            </w:pPr>
          </w:p>
        </w:tc>
        <w:tc>
          <w:tcPr>
            <w:tcW w:w="222" w:type="dxa"/>
            <w:shd w:val="clear" w:color="auto" w:fill="auto"/>
          </w:tcPr>
          <w:p w:rsidR="006F2083" w:rsidRPr="008E1E1A" w:rsidRDefault="006F2083" w:rsidP="00AC239C">
            <w:pPr>
              <w:pStyle w:val="Sinespaciado"/>
              <w:spacing w:line="276" w:lineRule="auto"/>
              <w:jc w:val="center"/>
              <w:rPr>
                <w:rFonts w:ascii="Trebuchet MS" w:hAnsi="Trebuchet MS" w:cs="Arial"/>
                <w:kern w:val="18"/>
                <w:sz w:val="23"/>
                <w:szCs w:val="23"/>
              </w:rPr>
            </w:pPr>
          </w:p>
        </w:tc>
      </w:tr>
    </w:tbl>
    <w:p w:rsidR="006F2083" w:rsidRPr="00264F98" w:rsidRDefault="006F2083" w:rsidP="00AC239C">
      <w:pPr>
        <w:spacing w:after="0"/>
        <w:jc w:val="both"/>
        <w:rPr>
          <w:rFonts w:ascii="Trebuchet MS" w:eastAsia="Times New Roman" w:hAnsi="Trebuchet MS" w:cs="Arial"/>
          <w:sz w:val="24"/>
          <w:szCs w:val="24"/>
        </w:rPr>
      </w:pPr>
    </w:p>
    <w:p w:rsidR="007D372A" w:rsidRPr="00264F98" w:rsidRDefault="007D372A" w:rsidP="00AC239C">
      <w:pPr>
        <w:spacing w:after="0"/>
        <w:jc w:val="both"/>
        <w:rPr>
          <w:rFonts w:ascii="Trebuchet MS" w:eastAsia="Times New Roman" w:hAnsi="Trebuchet MS" w:cs="Arial"/>
          <w:sz w:val="24"/>
          <w:szCs w:val="24"/>
          <w:lang w:eastAsia="es-ES"/>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AC239C" w:rsidTr="006F2083">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264F98" w:rsidRDefault="00FC148B" w:rsidP="00AC239C">
            <w:pPr>
              <w:spacing w:after="0"/>
              <w:jc w:val="center"/>
              <w:rPr>
                <w:rFonts w:ascii="Trebuchet MS" w:hAnsi="Trebuchet MS" w:cs="Arial"/>
                <w:sz w:val="16"/>
                <w:szCs w:val="16"/>
              </w:rPr>
            </w:pPr>
            <w:r w:rsidRPr="00264F98">
              <w:rPr>
                <w:rFonts w:ascii="Trebuchet MS" w:hAnsi="Trebuchet MS" w:cs="Arial"/>
                <w:sz w:val="16"/>
                <w:szCs w:val="16"/>
              </w:rPr>
              <w:t>CMT</w:t>
            </w:r>
          </w:p>
          <w:p w:rsidR="005B6A1F" w:rsidRPr="00264F98" w:rsidRDefault="005B6A1F" w:rsidP="00AC239C">
            <w:pPr>
              <w:spacing w:after="0"/>
              <w:jc w:val="center"/>
              <w:rPr>
                <w:rFonts w:ascii="Trebuchet MS" w:hAnsi="Trebuchet MS" w:cs="Arial"/>
                <w:sz w:val="16"/>
                <w:szCs w:val="16"/>
              </w:rPr>
            </w:pPr>
            <w:r w:rsidRPr="00264F98">
              <w:rPr>
                <w:rFonts w:ascii="Trebuchet MS" w:hAnsi="Trebuchet MS" w:cs="Arial"/>
                <w:sz w:val="16"/>
                <w:szCs w:val="16"/>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264F98" w:rsidRDefault="00150AA7" w:rsidP="00AC239C">
            <w:pPr>
              <w:spacing w:after="0"/>
              <w:jc w:val="center"/>
              <w:rPr>
                <w:rFonts w:ascii="Trebuchet MS" w:hAnsi="Trebuchet MS" w:cs="Arial"/>
                <w:sz w:val="16"/>
                <w:szCs w:val="16"/>
              </w:rPr>
            </w:pPr>
            <w:r w:rsidRPr="00264F98">
              <w:rPr>
                <w:rFonts w:ascii="Trebuchet MS" w:hAnsi="Trebuchet MS" w:cs="Arial"/>
                <w:sz w:val="16"/>
                <w:szCs w:val="16"/>
              </w:rPr>
              <w:t>TETC</w:t>
            </w:r>
          </w:p>
          <w:p w:rsidR="005B6A1F" w:rsidRPr="00AC239C" w:rsidRDefault="005B6A1F" w:rsidP="00AC239C">
            <w:pPr>
              <w:spacing w:after="0"/>
              <w:jc w:val="center"/>
              <w:rPr>
                <w:rFonts w:ascii="Trebuchet MS" w:hAnsi="Trebuchet MS" w:cs="Arial"/>
                <w:sz w:val="16"/>
                <w:szCs w:val="16"/>
              </w:rPr>
            </w:pPr>
            <w:r w:rsidRPr="00264F98">
              <w:rPr>
                <w:rFonts w:ascii="Trebuchet MS" w:hAnsi="Trebuchet MS" w:cs="Arial"/>
                <w:sz w:val="16"/>
                <w:szCs w:val="16"/>
              </w:rPr>
              <w:t>Elaboró</w:t>
            </w:r>
          </w:p>
        </w:tc>
      </w:tr>
    </w:tbl>
    <w:p w:rsidR="008E1E1A" w:rsidRDefault="008E1E1A" w:rsidP="008E1E1A">
      <w:pPr>
        <w:jc w:val="both"/>
        <w:rPr>
          <w:rFonts w:ascii="Trebuchet MS" w:hAnsi="Trebuchet MS"/>
          <w:sz w:val="18"/>
          <w:szCs w:val="18"/>
        </w:rPr>
      </w:pPr>
    </w:p>
    <w:p w:rsidR="008E1E1A" w:rsidRPr="008E1E1A" w:rsidRDefault="008E1E1A" w:rsidP="008E1E1A">
      <w:pPr>
        <w:spacing w:after="0" w:line="240" w:lineRule="auto"/>
        <w:jc w:val="both"/>
        <w:rPr>
          <w:rFonts w:ascii="Trebuchet MS" w:hAnsi="Trebuchet MS"/>
          <w:sz w:val="16"/>
          <w:szCs w:val="16"/>
        </w:rPr>
      </w:pPr>
      <w:r w:rsidRPr="008E1E1A">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sidR="00601E0E">
        <w:rPr>
          <w:rFonts w:ascii="Trebuchet MS" w:hAnsi="Trebuchet MS"/>
          <w:sz w:val="16"/>
          <w:szCs w:val="16"/>
        </w:rPr>
        <w:t>treinta de marzo</w:t>
      </w:r>
      <w:r w:rsidRPr="008E1E1A">
        <w:rPr>
          <w:rFonts w:ascii="Trebuchet MS" w:hAnsi="Trebuchet MS"/>
          <w:sz w:val="16"/>
          <w:szCs w:val="16"/>
        </w:rPr>
        <w:t xml:space="preserve"> de dos mil veintidós, por votación unánime de las y los consejeros electorales Silvia Guadalupe Bustos Vásquez</w:t>
      </w:r>
      <w:r w:rsidRPr="008E1E1A">
        <w:rPr>
          <w:rFonts w:ascii="Trebuchet MS" w:hAnsi="Trebuchet MS"/>
          <w:bCs/>
          <w:sz w:val="16"/>
          <w:szCs w:val="16"/>
        </w:rPr>
        <w:t>,</w:t>
      </w:r>
      <w:r w:rsidRPr="008E1E1A">
        <w:rPr>
          <w:rFonts w:ascii="Trebuchet MS" w:hAnsi="Trebuchet MS"/>
          <w:sz w:val="16"/>
          <w:szCs w:val="16"/>
        </w:rPr>
        <w:t xml:space="preserve"> Zoad Jeanine García González</w:t>
      </w:r>
      <w:r>
        <w:rPr>
          <w:rFonts w:ascii="Trebuchet MS" w:hAnsi="Trebuchet MS"/>
          <w:sz w:val="16"/>
          <w:szCs w:val="16"/>
        </w:rPr>
        <w:t>,</w:t>
      </w:r>
      <w:r w:rsidRPr="008E1E1A">
        <w:rPr>
          <w:rFonts w:ascii="Trebuchet MS" w:hAnsi="Trebuchet MS"/>
          <w:sz w:val="16"/>
          <w:szCs w:val="16"/>
        </w:rPr>
        <w:t xml:space="preserve"> Miguel Godínez Terríquez</w:t>
      </w:r>
      <w:r w:rsidRPr="008E1E1A">
        <w:rPr>
          <w:rFonts w:ascii="Trebuchet MS" w:hAnsi="Trebuchet MS"/>
          <w:bCs/>
          <w:sz w:val="16"/>
          <w:szCs w:val="16"/>
        </w:rPr>
        <w:t>,</w:t>
      </w:r>
      <w:r w:rsidRPr="008E1E1A">
        <w:rPr>
          <w:rFonts w:ascii="Trebuchet MS" w:hAnsi="Trebuchet MS"/>
          <w:sz w:val="16"/>
          <w:szCs w:val="16"/>
        </w:rPr>
        <w:t xml:space="preserve"> </w:t>
      </w:r>
      <w:r w:rsidRPr="008E1E1A">
        <w:rPr>
          <w:rFonts w:ascii="Trebuchet MS" w:hAnsi="Trebuchet MS"/>
          <w:bCs/>
          <w:sz w:val="16"/>
          <w:szCs w:val="16"/>
        </w:rPr>
        <w:t xml:space="preserve">Moisés Pérez Vega, Brenda Judith Serafín Morfín, Claudia Alejandra Vargas Bautista y de la consejera presidenta </w:t>
      </w:r>
      <w:r w:rsidRPr="008E1E1A">
        <w:rPr>
          <w:rFonts w:ascii="Trebuchet MS" w:hAnsi="Trebuchet MS"/>
          <w:sz w:val="16"/>
          <w:szCs w:val="16"/>
        </w:rPr>
        <w:t>Paula Ramírez Höhne. Doy fe.</w:t>
      </w:r>
    </w:p>
    <w:p w:rsidR="008E1E1A" w:rsidRPr="008E1E1A" w:rsidRDefault="008E1E1A" w:rsidP="008E1E1A">
      <w:pPr>
        <w:spacing w:after="0" w:line="240" w:lineRule="auto"/>
        <w:jc w:val="both"/>
        <w:rPr>
          <w:rFonts w:ascii="Trebuchet MS" w:hAnsi="Trebuchet MS"/>
          <w:sz w:val="16"/>
          <w:szCs w:val="16"/>
        </w:rPr>
      </w:pPr>
    </w:p>
    <w:p w:rsidR="008E1E1A" w:rsidRPr="008E1E1A" w:rsidRDefault="008E1E1A" w:rsidP="008E1E1A">
      <w:pPr>
        <w:spacing w:after="0" w:line="240" w:lineRule="auto"/>
        <w:jc w:val="both"/>
        <w:rPr>
          <w:rFonts w:ascii="Trebuchet MS" w:hAnsi="Trebuchet MS"/>
          <w:sz w:val="16"/>
          <w:szCs w:val="16"/>
        </w:rPr>
      </w:pPr>
    </w:p>
    <w:p w:rsidR="008E1E1A" w:rsidRPr="008E1E1A" w:rsidRDefault="008E1E1A" w:rsidP="008E1E1A">
      <w:pPr>
        <w:spacing w:after="0" w:line="240" w:lineRule="auto"/>
        <w:jc w:val="center"/>
        <w:rPr>
          <w:rFonts w:ascii="Trebuchet MS" w:hAnsi="Trebuchet MS" w:cs="Arial"/>
          <w:sz w:val="16"/>
          <w:szCs w:val="16"/>
        </w:rPr>
      </w:pPr>
      <w:r>
        <w:rPr>
          <w:rFonts w:ascii="Trebuchet MS" w:hAnsi="Trebuchet MS" w:cs="Arial"/>
          <w:sz w:val="16"/>
          <w:szCs w:val="16"/>
        </w:rPr>
        <w:t xml:space="preserve"> Mtro. </w:t>
      </w:r>
      <w:r w:rsidRPr="008E1E1A">
        <w:rPr>
          <w:rFonts w:ascii="Trebuchet MS" w:hAnsi="Trebuchet MS" w:cs="Arial"/>
          <w:sz w:val="16"/>
          <w:szCs w:val="16"/>
        </w:rPr>
        <w:t>Christian Flores Garza</w:t>
      </w:r>
    </w:p>
    <w:p w:rsidR="008E1E1A" w:rsidRPr="008E1E1A" w:rsidRDefault="008E1E1A" w:rsidP="008E1E1A">
      <w:pPr>
        <w:spacing w:after="0" w:line="240" w:lineRule="auto"/>
        <w:jc w:val="center"/>
        <w:rPr>
          <w:rFonts w:ascii="Trebuchet MS" w:hAnsi="Trebuchet MS" w:cs="Arial"/>
          <w:b/>
          <w:sz w:val="16"/>
          <w:szCs w:val="16"/>
        </w:rPr>
      </w:pPr>
      <w:r>
        <w:rPr>
          <w:rFonts w:ascii="Trebuchet MS" w:hAnsi="Trebuchet MS" w:cs="Arial"/>
          <w:sz w:val="16"/>
          <w:szCs w:val="16"/>
        </w:rPr>
        <w:t>El s</w:t>
      </w:r>
      <w:r w:rsidRPr="008E1E1A">
        <w:rPr>
          <w:rFonts w:ascii="Trebuchet MS" w:hAnsi="Trebuchet MS" w:cs="Arial"/>
          <w:sz w:val="16"/>
          <w:szCs w:val="16"/>
        </w:rPr>
        <w:t>ecretario ejecutivo</w:t>
      </w:r>
    </w:p>
    <w:p w:rsidR="00552677" w:rsidRPr="00AC239C" w:rsidRDefault="00552677" w:rsidP="00AC239C">
      <w:pPr>
        <w:pStyle w:val="Textoindependiente"/>
        <w:shd w:val="clear" w:color="auto" w:fill="FFFFFF"/>
        <w:spacing w:after="0"/>
        <w:jc w:val="both"/>
        <w:rPr>
          <w:rFonts w:ascii="Trebuchet MS" w:hAnsi="Trebuchet MS" w:cs="Arial"/>
          <w:sz w:val="24"/>
          <w:szCs w:val="24"/>
        </w:rPr>
      </w:pPr>
    </w:p>
    <w:sectPr w:rsidR="00552677" w:rsidRPr="00AC239C" w:rsidSect="001149BD">
      <w:headerReference w:type="even" r:id="rId9"/>
      <w:headerReference w:type="default" r:id="rId10"/>
      <w:footerReference w:type="default" r:id="rId11"/>
      <w:headerReference w:type="first" r:id="rId12"/>
      <w:pgSz w:w="12240" w:h="15840"/>
      <w:pgMar w:top="1135"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3BE" w:rsidRDefault="00C163BE" w:rsidP="00951651">
      <w:pPr>
        <w:spacing w:after="0" w:line="240" w:lineRule="auto"/>
      </w:pPr>
      <w:r>
        <w:separator/>
      </w:r>
    </w:p>
  </w:endnote>
  <w:endnote w:type="continuationSeparator" w:id="0">
    <w:p w:rsidR="00C163BE" w:rsidRDefault="00C163BE"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2F2322" w:rsidRPr="00C10274">
              <w:rPr>
                <w:rFonts w:ascii="Trebuchet MS" w:hAnsi="Trebuchet MS"/>
                <w:b/>
                <w:bCs/>
              </w:rPr>
              <w:fldChar w:fldCharType="begin"/>
            </w:r>
            <w:r w:rsidRPr="00C10274">
              <w:rPr>
                <w:rFonts w:ascii="Trebuchet MS" w:hAnsi="Trebuchet MS"/>
                <w:b/>
                <w:bCs/>
              </w:rPr>
              <w:instrText>PAGE</w:instrText>
            </w:r>
            <w:r w:rsidR="002F2322" w:rsidRPr="00C10274">
              <w:rPr>
                <w:rFonts w:ascii="Trebuchet MS" w:hAnsi="Trebuchet MS"/>
                <w:b/>
                <w:bCs/>
              </w:rPr>
              <w:fldChar w:fldCharType="separate"/>
            </w:r>
            <w:r w:rsidR="00FE6021">
              <w:rPr>
                <w:rFonts w:ascii="Trebuchet MS" w:hAnsi="Trebuchet MS"/>
                <w:b/>
                <w:bCs/>
                <w:noProof/>
              </w:rPr>
              <w:t>9</w:t>
            </w:r>
            <w:r w:rsidR="002F2322" w:rsidRPr="00C10274">
              <w:rPr>
                <w:rFonts w:ascii="Trebuchet MS" w:hAnsi="Trebuchet MS"/>
                <w:b/>
                <w:bCs/>
              </w:rPr>
              <w:fldChar w:fldCharType="end"/>
            </w:r>
            <w:r w:rsidRPr="00C10274">
              <w:rPr>
                <w:rFonts w:ascii="Trebuchet MS" w:hAnsi="Trebuchet MS"/>
                <w:lang w:val="es-ES"/>
              </w:rPr>
              <w:t xml:space="preserve"> de </w:t>
            </w:r>
            <w:r w:rsidR="002F2322" w:rsidRPr="00C10274">
              <w:rPr>
                <w:rFonts w:ascii="Trebuchet MS" w:hAnsi="Trebuchet MS"/>
                <w:b/>
                <w:bCs/>
              </w:rPr>
              <w:fldChar w:fldCharType="begin"/>
            </w:r>
            <w:r w:rsidRPr="00C10274">
              <w:rPr>
                <w:rFonts w:ascii="Trebuchet MS" w:hAnsi="Trebuchet MS"/>
                <w:b/>
                <w:bCs/>
              </w:rPr>
              <w:instrText>NUMPAGES</w:instrText>
            </w:r>
            <w:r w:rsidR="002F2322" w:rsidRPr="00C10274">
              <w:rPr>
                <w:rFonts w:ascii="Trebuchet MS" w:hAnsi="Trebuchet MS"/>
                <w:b/>
                <w:bCs/>
              </w:rPr>
              <w:fldChar w:fldCharType="separate"/>
            </w:r>
            <w:r w:rsidR="00FE6021">
              <w:rPr>
                <w:rFonts w:ascii="Trebuchet MS" w:hAnsi="Trebuchet MS"/>
                <w:b/>
                <w:bCs/>
                <w:noProof/>
              </w:rPr>
              <w:t>11</w:t>
            </w:r>
            <w:r w:rsidR="002F2322"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3BE" w:rsidRDefault="00C163BE" w:rsidP="00951651">
      <w:pPr>
        <w:spacing w:after="0" w:line="240" w:lineRule="auto"/>
      </w:pPr>
      <w:r>
        <w:separator/>
      </w:r>
    </w:p>
  </w:footnote>
  <w:footnote w:type="continuationSeparator" w:id="0">
    <w:p w:rsidR="00C163BE" w:rsidRDefault="00C163BE"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0F" w:rsidRDefault="00FE602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516097"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18874D77" wp14:editId="19B39318">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8F0090" w:rsidRDefault="000A2A1C"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IEPC-ACG-022/2022</w:t>
    </w:r>
    <w:r w:rsidR="008F0090">
      <w:rPr>
        <w:rFonts w:ascii="Trebuchet MS" w:hAnsi="Trebuchet MS"/>
        <w:b/>
        <w:sz w:val="24"/>
        <w:szCs w:val="24"/>
      </w:rPr>
      <w:tab/>
    </w:r>
    <w:r w:rsidR="008F0090">
      <w:rPr>
        <w:rFonts w:ascii="Trebuchet MS" w:hAnsi="Trebuchet MS"/>
        <w:b/>
        <w:sz w:val="24"/>
        <w:szCs w:val="24"/>
      </w:rPr>
      <w:tab/>
    </w:r>
  </w:p>
  <w:p w:rsidR="009D5724" w:rsidRPr="00370F65" w:rsidRDefault="00A02C30"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0F" w:rsidRDefault="00FE602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516096"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1"/>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3"/>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2"/>
  </w:num>
  <w:num w:numId="19">
    <w:abstractNumId w:val="1"/>
  </w:num>
  <w:num w:numId="20">
    <w:abstractNumId w:val="14"/>
  </w:num>
  <w:num w:numId="21">
    <w:abstractNumId w:val="13"/>
  </w:num>
  <w:num w:numId="22">
    <w:abstractNumId w:val="9"/>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0AFD"/>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60F3"/>
    <w:rsid w:val="0003617A"/>
    <w:rsid w:val="0003626C"/>
    <w:rsid w:val="00037982"/>
    <w:rsid w:val="00037B81"/>
    <w:rsid w:val="000406DD"/>
    <w:rsid w:val="00041E4D"/>
    <w:rsid w:val="000421B5"/>
    <w:rsid w:val="00042A9C"/>
    <w:rsid w:val="000438E7"/>
    <w:rsid w:val="00044FA3"/>
    <w:rsid w:val="000477DF"/>
    <w:rsid w:val="000506EE"/>
    <w:rsid w:val="00053D0D"/>
    <w:rsid w:val="000540D1"/>
    <w:rsid w:val="00054B74"/>
    <w:rsid w:val="00054C59"/>
    <w:rsid w:val="00056D42"/>
    <w:rsid w:val="00057E40"/>
    <w:rsid w:val="0006105A"/>
    <w:rsid w:val="000612E8"/>
    <w:rsid w:val="00064AB5"/>
    <w:rsid w:val="00067980"/>
    <w:rsid w:val="00071952"/>
    <w:rsid w:val="0007594C"/>
    <w:rsid w:val="00076DB0"/>
    <w:rsid w:val="0008255A"/>
    <w:rsid w:val="00082BBA"/>
    <w:rsid w:val="0008397A"/>
    <w:rsid w:val="00087016"/>
    <w:rsid w:val="00090A8B"/>
    <w:rsid w:val="000912C3"/>
    <w:rsid w:val="00092EF6"/>
    <w:rsid w:val="000933A2"/>
    <w:rsid w:val="000A1FDF"/>
    <w:rsid w:val="000A2691"/>
    <w:rsid w:val="000A2A1C"/>
    <w:rsid w:val="000A73D8"/>
    <w:rsid w:val="000A7AD8"/>
    <w:rsid w:val="000B1BB1"/>
    <w:rsid w:val="000B4E1C"/>
    <w:rsid w:val="000B4EF3"/>
    <w:rsid w:val="000B508E"/>
    <w:rsid w:val="000B6C6F"/>
    <w:rsid w:val="000B76E6"/>
    <w:rsid w:val="000C0719"/>
    <w:rsid w:val="000C1F9E"/>
    <w:rsid w:val="000C2773"/>
    <w:rsid w:val="000C327F"/>
    <w:rsid w:val="000C4501"/>
    <w:rsid w:val="000C583F"/>
    <w:rsid w:val="000C593D"/>
    <w:rsid w:val="000C7685"/>
    <w:rsid w:val="000C769C"/>
    <w:rsid w:val="000D077F"/>
    <w:rsid w:val="000D0D2A"/>
    <w:rsid w:val="000D3E03"/>
    <w:rsid w:val="000D4597"/>
    <w:rsid w:val="000D6194"/>
    <w:rsid w:val="000E1F7F"/>
    <w:rsid w:val="000E34D5"/>
    <w:rsid w:val="000E6421"/>
    <w:rsid w:val="000E6E19"/>
    <w:rsid w:val="000E6EE7"/>
    <w:rsid w:val="000E70B1"/>
    <w:rsid w:val="000E71FA"/>
    <w:rsid w:val="000E7D36"/>
    <w:rsid w:val="000F076A"/>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50AA7"/>
    <w:rsid w:val="001516FE"/>
    <w:rsid w:val="00151A40"/>
    <w:rsid w:val="00151F92"/>
    <w:rsid w:val="00152B39"/>
    <w:rsid w:val="00152D7A"/>
    <w:rsid w:val="0015657F"/>
    <w:rsid w:val="00160BC6"/>
    <w:rsid w:val="00163680"/>
    <w:rsid w:val="00163C5F"/>
    <w:rsid w:val="00163E1A"/>
    <w:rsid w:val="00165A4E"/>
    <w:rsid w:val="001701BF"/>
    <w:rsid w:val="001713ED"/>
    <w:rsid w:val="00171AE8"/>
    <w:rsid w:val="00171B04"/>
    <w:rsid w:val="00173950"/>
    <w:rsid w:val="00174961"/>
    <w:rsid w:val="00177394"/>
    <w:rsid w:val="001834FF"/>
    <w:rsid w:val="0018398C"/>
    <w:rsid w:val="00184BEB"/>
    <w:rsid w:val="00191F75"/>
    <w:rsid w:val="00192F80"/>
    <w:rsid w:val="00195C6D"/>
    <w:rsid w:val="00196E75"/>
    <w:rsid w:val="001A089C"/>
    <w:rsid w:val="001A097A"/>
    <w:rsid w:val="001A1C76"/>
    <w:rsid w:val="001A2CDF"/>
    <w:rsid w:val="001A2E1A"/>
    <w:rsid w:val="001A3B52"/>
    <w:rsid w:val="001A3F56"/>
    <w:rsid w:val="001A68F0"/>
    <w:rsid w:val="001A7110"/>
    <w:rsid w:val="001A7749"/>
    <w:rsid w:val="001A7986"/>
    <w:rsid w:val="001A7CA5"/>
    <w:rsid w:val="001B24C0"/>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028D"/>
    <w:rsid w:val="001D055B"/>
    <w:rsid w:val="001D3338"/>
    <w:rsid w:val="001D3DBD"/>
    <w:rsid w:val="001D4CF9"/>
    <w:rsid w:val="001D5B63"/>
    <w:rsid w:val="001D5F47"/>
    <w:rsid w:val="001D6C7B"/>
    <w:rsid w:val="001D6D83"/>
    <w:rsid w:val="001D70D5"/>
    <w:rsid w:val="001E12E0"/>
    <w:rsid w:val="001E33A1"/>
    <w:rsid w:val="001E705F"/>
    <w:rsid w:val="001F0514"/>
    <w:rsid w:val="001F09BF"/>
    <w:rsid w:val="001F0EBA"/>
    <w:rsid w:val="001F1212"/>
    <w:rsid w:val="001F1BD3"/>
    <w:rsid w:val="001F1DEB"/>
    <w:rsid w:val="001F2A97"/>
    <w:rsid w:val="001F3B09"/>
    <w:rsid w:val="001F4A5B"/>
    <w:rsid w:val="001F6CB3"/>
    <w:rsid w:val="001F75A8"/>
    <w:rsid w:val="001F7740"/>
    <w:rsid w:val="00201877"/>
    <w:rsid w:val="00201BD4"/>
    <w:rsid w:val="00202905"/>
    <w:rsid w:val="00207830"/>
    <w:rsid w:val="002105D6"/>
    <w:rsid w:val="002115B8"/>
    <w:rsid w:val="00211D02"/>
    <w:rsid w:val="002144C9"/>
    <w:rsid w:val="00215E5B"/>
    <w:rsid w:val="00216AD1"/>
    <w:rsid w:val="00216C8C"/>
    <w:rsid w:val="002175C0"/>
    <w:rsid w:val="0022089A"/>
    <w:rsid w:val="002220AB"/>
    <w:rsid w:val="00222ED8"/>
    <w:rsid w:val="002244AC"/>
    <w:rsid w:val="002245EE"/>
    <w:rsid w:val="00224EA5"/>
    <w:rsid w:val="002263C8"/>
    <w:rsid w:val="00230CAB"/>
    <w:rsid w:val="00232BE7"/>
    <w:rsid w:val="002344B5"/>
    <w:rsid w:val="00234A9E"/>
    <w:rsid w:val="002352B7"/>
    <w:rsid w:val="00235774"/>
    <w:rsid w:val="002361B4"/>
    <w:rsid w:val="002363E6"/>
    <w:rsid w:val="00236DF3"/>
    <w:rsid w:val="00237840"/>
    <w:rsid w:val="0024001D"/>
    <w:rsid w:val="0024017C"/>
    <w:rsid w:val="00243197"/>
    <w:rsid w:val="00243C4F"/>
    <w:rsid w:val="00243F1F"/>
    <w:rsid w:val="00246C54"/>
    <w:rsid w:val="00246D42"/>
    <w:rsid w:val="00250ACD"/>
    <w:rsid w:val="002510E5"/>
    <w:rsid w:val="002512AE"/>
    <w:rsid w:val="00251AE9"/>
    <w:rsid w:val="002528E9"/>
    <w:rsid w:val="0025597F"/>
    <w:rsid w:val="00256AA2"/>
    <w:rsid w:val="00261197"/>
    <w:rsid w:val="00263B05"/>
    <w:rsid w:val="00264F98"/>
    <w:rsid w:val="00265365"/>
    <w:rsid w:val="00267083"/>
    <w:rsid w:val="002679CA"/>
    <w:rsid w:val="002679FD"/>
    <w:rsid w:val="0027192A"/>
    <w:rsid w:val="00272774"/>
    <w:rsid w:val="00272D2E"/>
    <w:rsid w:val="00273180"/>
    <w:rsid w:val="00275684"/>
    <w:rsid w:val="00276260"/>
    <w:rsid w:val="002801EB"/>
    <w:rsid w:val="00280758"/>
    <w:rsid w:val="00281CB3"/>
    <w:rsid w:val="002828F6"/>
    <w:rsid w:val="002849CF"/>
    <w:rsid w:val="00284AE3"/>
    <w:rsid w:val="00285DDE"/>
    <w:rsid w:val="002861E1"/>
    <w:rsid w:val="00292661"/>
    <w:rsid w:val="00293E5A"/>
    <w:rsid w:val="002943E3"/>
    <w:rsid w:val="002962E4"/>
    <w:rsid w:val="002963F4"/>
    <w:rsid w:val="00297139"/>
    <w:rsid w:val="002A33B6"/>
    <w:rsid w:val="002A4B83"/>
    <w:rsid w:val="002A6D8C"/>
    <w:rsid w:val="002A7501"/>
    <w:rsid w:val="002B2BD5"/>
    <w:rsid w:val="002B33CA"/>
    <w:rsid w:val="002B485A"/>
    <w:rsid w:val="002B68EC"/>
    <w:rsid w:val="002B7EE7"/>
    <w:rsid w:val="002C34EF"/>
    <w:rsid w:val="002C39D5"/>
    <w:rsid w:val="002C3D57"/>
    <w:rsid w:val="002C658A"/>
    <w:rsid w:val="002D10DD"/>
    <w:rsid w:val="002D11EC"/>
    <w:rsid w:val="002D37B2"/>
    <w:rsid w:val="002D3DA0"/>
    <w:rsid w:val="002D5137"/>
    <w:rsid w:val="002E0C08"/>
    <w:rsid w:val="002E233D"/>
    <w:rsid w:val="002E2590"/>
    <w:rsid w:val="002E51D2"/>
    <w:rsid w:val="002F0B8F"/>
    <w:rsid w:val="002F1019"/>
    <w:rsid w:val="002F172D"/>
    <w:rsid w:val="002F1875"/>
    <w:rsid w:val="002F2322"/>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35FBB"/>
    <w:rsid w:val="0034000C"/>
    <w:rsid w:val="00340F5D"/>
    <w:rsid w:val="00342A9B"/>
    <w:rsid w:val="00343F41"/>
    <w:rsid w:val="003462F6"/>
    <w:rsid w:val="00346CF6"/>
    <w:rsid w:val="00347B88"/>
    <w:rsid w:val="00350620"/>
    <w:rsid w:val="00350761"/>
    <w:rsid w:val="00350ABC"/>
    <w:rsid w:val="00350E19"/>
    <w:rsid w:val="003530CB"/>
    <w:rsid w:val="003533ED"/>
    <w:rsid w:val="003542AC"/>
    <w:rsid w:val="003556A4"/>
    <w:rsid w:val="00355E01"/>
    <w:rsid w:val="003605A0"/>
    <w:rsid w:val="0036270B"/>
    <w:rsid w:val="00363295"/>
    <w:rsid w:val="003646E6"/>
    <w:rsid w:val="0036509C"/>
    <w:rsid w:val="003661CA"/>
    <w:rsid w:val="0036664C"/>
    <w:rsid w:val="00370165"/>
    <w:rsid w:val="00370A2D"/>
    <w:rsid w:val="00370F65"/>
    <w:rsid w:val="00373087"/>
    <w:rsid w:val="00374BBA"/>
    <w:rsid w:val="00374DED"/>
    <w:rsid w:val="003817DA"/>
    <w:rsid w:val="003820A2"/>
    <w:rsid w:val="00386BC3"/>
    <w:rsid w:val="003A1E1B"/>
    <w:rsid w:val="003A3C02"/>
    <w:rsid w:val="003A4949"/>
    <w:rsid w:val="003A6F7A"/>
    <w:rsid w:val="003B0119"/>
    <w:rsid w:val="003B15BE"/>
    <w:rsid w:val="003B1F4F"/>
    <w:rsid w:val="003B241A"/>
    <w:rsid w:val="003B5D4A"/>
    <w:rsid w:val="003B5E56"/>
    <w:rsid w:val="003B6EE5"/>
    <w:rsid w:val="003B7A1C"/>
    <w:rsid w:val="003B7E55"/>
    <w:rsid w:val="003C292C"/>
    <w:rsid w:val="003C545C"/>
    <w:rsid w:val="003C54A9"/>
    <w:rsid w:val="003C6EE1"/>
    <w:rsid w:val="003C7E22"/>
    <w:rsid w:val="003D1B43"/>
    <w:rsid w:val="003D213F"/>
    <w:rsid w:val="003D3DC2"/>
    <w:rsid w:val="003D4FD1"/>
    <w:rsid w:val="003D73D2"/>
    <w:rsid w:val="003E086F"/>
    <w:rsid w:val="003E0996"/>
    <w:rsid w:val="003E30B7"/>
    <w:rsid w:val="003E3756"/>
    <w:rsid w:val="003E456D"/>
    <w:rsid w:val="003E4D50"/>
    <w:rsid w:val="003E5B9A"/>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2158"/>
    <w:rsid w:val="004123EB"/>
    <w:rsid w:val="0041408D"/>
    <w:rsid w:val="00414E90"/>
    <w:rsid w:val="00415D24"/>
    <w:rsid w:val="00426686"/>
    <w:rsid w:val="004310C5"/>
    <w:rsid w:val="00432559"/>
    <w:rsid w:val="00432C2D"/>
    <w:rsid w:val="004332A8"/>
    <w:rsid w:val="00433AF4"/>
    <w:rsid w:val="0043401A"/>
    <w:rsid w:val="00434986"/>
    <w:rsid w:val="004350E9"/>
    <w:rsid w:val="004352BE"/>
    <w:rsid w:val="004414FE"/>
    <w:rsid w:val="00445726"/>
    <w:rsid w:val="00445E78"/>
    <w:rsid w:val="00447A18"/>
    <w:rsid w:val="00450C7E"/>
    <w:rsid w:val="00451491"/>
    <w:rsid w:val="00454DA2"/>
    <w:rsid w:val="00460435"/>
    <w:rsid w:val="004608D7"/>
    <w:rsid w:val="00470221"/>
    <w:rsid w:val="00470D6E"/>
    <w:rsid w:val="00474355"/>
    <w:rsid w:val="004754AA"/>
    <w:rsid w:val="00475D28"/>
    <w:rsid w:val="00476F59"/>
    <w:rsid w:val="004874C4"/>
    <w:rsid w:val="004902B2"/>
    <w:rsid w:val="00491968"/>
    <w:rsid w:val="004920AE"/>
    <w:rsid w:val="00492BBE"/>
    <w:rsid w:val="00496605"/>
    <w:rsid w:val="0049694E"/>
    <w:rsid w:val="00496F58"/>
    <w:rsid w:val="004A1065"/>
    <w:rsid w:val="004A155D"/>
    <w:rsid w:val="004A54C2"/>
    <w:rsid w:val="004B0F4A"/>
    <w:rsid w:val="004B12FE"/>
    <w:rsid w:val="004B22CE"/>
    <w:rsid w:val="004B38E3"/>
    <w:rsid w:val="004C2E09"/>
    <w:rsid w:val="004C36E9"/>
    <w:rsid w:val="004C396E"/>
    <w:rsid w:val="004C4A58"/>
    <w:rsid w:val="004C505B"/>
    <w:rsid w:val="004C781F"/>
    <w:rsid w:val="004D0747"/>
    <w:rsid w:val="004D5089"/>
    <w:rsid w:val="004D5413"/>
    <w:rsid w:val="004D668F"/>
    <w:rsid w:val="004D72B1"/>
    <w:rsid w:val="004D7888"/>
    <w:rsid w:val="004E038B"/>
    <w:rsid w:val="004E051E"/>
    <w:rsid w:val="004E0561"/>
    <w:rsid w:val="004E1E8F"/>
    <w:rsid w:val="004E2643"/>
    <w:rsid w:val="004E2B1C"/>
    <w:rsid w:val="004E35F9"/>
    <w:rsid w:val="004E4B85"/>
    <w:rsid w:val="004F31EF"/>
    <w:rsid w:val="004F635E"/>
    <w:rsid w:val="00504F5A"/>
    <w:rsid w:val="00505210"/>
    <w:rsid w:val="00505406"/>
    <w:rsid w:val="00511C5F"/>
    <w:rsid w:val="005127EF"/>
    <w:rsid w:val="00516A8F"/>
    <w:rsid w:val="005174B1"/>
    <w:rsid w:val="005246F5"/>
    <w:rsid w:val="005255D6"/>
    <w:rsid w:val="005265DC"/>
    <w:rsid w:val="0052775B"/>
    <w:rsid w:val="00527F8B"/>
    <w:rsid w:val="005306E8"/>
    <w:rsid w:val="00530AA3"/>
    <w:rsid w:val="00531085"/>
    <w:rsid w:val="0053142F"/>
    <w:rsid w:val="005317CA"/>
    <w:rsid w:val="00534668"/>
    <w:rsid w:val="00535444"/>
    <w:rsid w:val="00535DE5"/>
    <w:rsid w:val="00541F67"/>
    <w:rsid w:val="00551BE9"/>
    <w:rsid w:val="0055209F"/>
    <w:rsid w:val="0055256B"/>
    <w:rsid w:val="00552677"/>
    <w:rsid w:val="00552BEF"/>
    <w:rsid w:val="005541A6"/>
    <w:rsid w:val="0055556A"/>
    <w:rsid w:val="00555A73"/>
    <w:rsid w:val="005575CC"/>
    <w:rsid w:val="005611C9"/>
    <w:rsid w:val="0056467E"/>
    <w:rsid w:val="00565E82"/>
    <w:rsid w:val="00566405"/>
    <w:rsid w:val="00567206"/>
    <w:rsid w:val="00567AB6"/>
    <w:rsid w:val="00567D3C"/>
    <w:rsid w:val="005710A6"/>
    <w:rsid w:val="005712F4"/>
    <w:rsid w:val="00572DC0"/>
    <w:rsid w:val="00575E7C"/>
    <w:rsid w:val="00581FA4"/>
    <w:rsid w:val="00583C13"/>
    <w:rsid w:val="005866B1"/>
    <w:rsid w:val="00586C1B"/>
    <w:rsid w:val="005871E9"/>
    <w:rsid w:val="00587829"/>
    <w:rsid w:val="00590036"/>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9D7"/>
    <w:rsid w:val="005B0C93"/>
    <w:rsid w:val="005B27C1"/>
    <w:rsid w:val="005B39BB"/>
    <w:rsid w:val="005B4DEE"/>
    <w:rsid w:val="005B50B6"/>
    <w:rsid w:val="005B6A0F"/>
    <w:rsid w:val="005B6A1F"/>
    <w:rsid w:val="005B7A3D"/>
    <w:rsid w:val="005C134D"/>
    <w:rsid w:val="005C3300"/>
    <w:rsid w:val="005C61B8"/>
    <w:rsid w:val="005C6D78"/>
    <w:rsid w:val="005C7014"/>
    <w:rsid w:val="005D0613"/>
    <w:rsid w:val="005D24BC"/>
    <w:rsid w:val="005D5610"/>
    <w:rsid w:val="005D5771"/>
    <w:rsid w:val="005D5870"/>
    <w:rsid w:val="005D5D27"/>
    <w:rsid w:val="005D7D09"/>
    <w:rsid w:val="005E0373"/>
    <w:rsid w:val="005E08F8"/>
    <w:rsid w:val="005E0E83"/>
    <w:rsid w:val="005E1371"/>
    <w:rsid w:val="005E3C7F"/>
    <w:rsid w:val="005E40B2"/>
    <w:rsid w:val="005E5674"/>
    <w:rsid w:val="005E5D8A"/>
    <w:rsid w:val="005F0036"/>
    <w:rsid w:val="005F3DDF"/>
    <w:rsid w:val="005F65A1"/>
    <w:rsid w:val="005F6E99"/>
    <w:rsid w:val="00601E0E"/>
    <w:rsid w:val="0060260E"/>
    <w:rsid w:val="00602617"/>
    <w:rsid w:val="006040F1"/>
    <w:rsid w:val="00606142"/>
    <w:rsid w:val="0060661C"/>
    <w:rsid w:val="00613527"/>
    <w:rsid w:val="00613E0C"/>
    <w:rsid w:val="0061553E"/>
    <w:rsid w:val="00617F17"/>
    <w:rsid w:val="00620EA1"/>
    <w:rsid w:val="006218CE"/>
    <w:rsid w:val="00622033"/>
    <w:rsid w:val="00622FBB"/>
    <w:rsid w:val="0062538E"/>
    <w:rsid w:val="00625989"/>
    <w:rsid w:val="00626557"/>
    <w:rsid w:val="00627F02"/>
    <w:rsid w:val="0063015C"/>
    <w:rsid w:val="00630816"/>
    <w:rsid w:val="0063102D"/>
    <w:rsid w:val="00632344"/>
    <w:rsid w:val="006332C8"/>
    <w:rsid w:val="0063355A"/>
    <w:rsid w:val="00633C77"/>
    <w:rsid w:val="006361D7"/>
    <w:rsid w:val="006377FE"/>
    <w:rsid w:val="0064022C"/>
    <w:rsid w:val="0064380F"/>
    <w:rsid w:val="0064385E"/>
    <w:rsid w:val="00643C2B"/>
    <w:rsid w:val="00644F42"/>
    <w:rsid w:val="00645F6A"/>
    <w:rsid w:val="0065403B"/>
    <w:rsid w:val="0065433E"/>
    <w:rsid w:val="006573D2"/>
    <w:rsid w:val="00660520"/>
    <w:rsid w:val="006610DD"/>
    <w:rsid w:val="006635C5"/>
    <w:rsid w:val="006664A8"/>
    <w:rsid w:val="006664F7"/>
    <w:rsid w:val="006706E6"/>
    <w:rsid w:val="006707EC"/>
    <w:rsid w:val="00673FDD"/>
    <w:rsid w:val="00677428"/>
    <w:rsid w:val="00681678"/>
    <w:rsid w:val="0068454D"/>
    <w:rsid w:val="006851F3"/>
    <w:rsid w:val="00687740"/>
    <w:rsid w:val="00690D28"/>
    <w:rsid w:val="00694651"/>
    <w:rsid w:val="006953ED"/>
    <w:rsid w:val="00697555"/>
    <w:rsid w:val="006A0F8F"/>
    <w:rsid w:val="006A5919"/>
    <w:rsid w:val="006B32BE"/>
    <w:rsid w:val="006B4698"/>
    <w:rsid w:val="006B4D14"/>
    <w:rsid w:val="006B5097"/>
    <w:rsid w:val="006B5BC0"/>
    <w:rsid w:val="006C0796"/>
    <w:rsid w:val="006C3FFF"/>
    <w:rsid w:val="006C43A7"/>
    <w:rsid w:val="006C4949"/>
    <w:rsid w:val="006C4CD5"/>
    <w:rsid w:val="006D0C44"/>
    <w:rsid w:val="006D18C3"/>
    <w:rsid w:val="006D26A6"/>
    <w:rsid w:val="006D545E"/>
    <w:rsid w:val="006E0884"/>
    <w:rsid w:val="006E2110"/>
    <w:rsid w:val="006E2DEB"/>
    <w:rsid w:val="006E3462"/>
    <w:rsid w:val="006E4F68"/>
    <w:rsid w:val="006E74C0"/>
    <w:rsid w:val="006E7EAE"/>
    <w:rsid w:val="006F06EB"/>
    <w:rsid w:val="006F2083"/>
    <w:rsid w:val="006F2F21"/>
    <w:rsid w:val="006F34B0"/>
    <w:rsid w:val="006F37AC"/>
    <w:rsid w:val="006F417F"/>
    <w:rsid w:val="006F5AD5"/>
    <w:rsid w:val="006F6E0F"/>
    <w:rsid w:val="006F77D8"/>
    <w:rsid w:val="0070138F"/>
    <w:rsid w:val="00701500"/>
    <w:rsid w:val="007050CA"/>
    <w:rsid w:val="00705689"/>
    <w:rsid w:val="00705B13"/>
    <w:rsid w:val="0071368D"/>
    <w:rsid w:val="0071500C"/>
    <w:rsid w:val="00715503"/>
    <w:rsid w:val="00716381"/>
    <w:rsid w:val="00716AE0"/>
    <w:rsid w:val="00717666"/>
    <w:rsid w:val="00717880"/>
    <w:rsid w:val="00717D9B"/>
    <w:rsid w:val="00722783"/>
    <w:rsid w:val="00733AFA"/>
    <w:rsid w:val="00733E4E"/>
    <w:rsid w:val="00735763"/>
    <w:rsid w:val="0073638E"/>
    <w:rsid w:val="00736EF3"/>
    <w:rsid w:val="00740023"/>
    <w:rsid w:val="007400BA"/>
    <w:rsid w:val="00741EAB"/>
    <w:rsid w:val="00744743"/>
    <w:rsid w:val="00747271"/>
    <w:rsid w:val="00753069"/>
    <w:rsid w:val="0075327F"/>
    <w:rsid w:val="00755218"/>
    <w:rsid w:val="00760D2B"/>
    <w:rsid w:val="00764362"/>
    <w:rsid w:val="00765DD0"/>
    <w:rsid w:val="00765EB3"/>
    <w:rsid w:val="00766D35"/>
    <w:rsid w:val="00767794"/>
    <w:rsid w:val="00767877"/>
    <w:rsid w:val="00767C55"/>
    <w:rsid w:val="00780301"/>
    <w:rsid w:val="00781FF4"/>
    <w:rsid w:val="00784834"/>
    <w:rsid w:val="00785E32"/>
    <w:rsid w:val="0078602F"/>
    <w:rsid w:val="007866B5"/>
    <w:rsid w:val="00787607"/>
    <w:rsid w:val="00790DB7"/>
    <w:rsid w:val="00793C3B"/>
    <w:rsid w:val="00793E17"/>
    <w:rsid w:val="00797062"/>
    <w:rsid w:val="007974BA"/>
    <w:rsid w:val="00797526"/>
    <w:rsid w:val="0079770B"/>
    <w:rsid w:val="0079782F"/>
    <w:rsid w:val="007A0C76"/>
    <w:rsid w:val="007A3534"/>
    <w:rsid w:val="007A3A71"/>
    <w:rsid w:val="007A5352"/>
    <w:rsid w:val="007A6A7F"/>
    <w:rsid w:val="007A787A"/>
    <w:rsid w:val="007B00B8"/>
    <w:rsid w:val="007B031E"/>
    <w:rsid w:val="007B1D35"/>
    <w:rsid w:val="007B3AA7"/>
    <w:rsid w:val="007B5138"/>
    <w:rsid w:val="007B5D8F"/>
    <w:rsid w:val="007B701B"/>
    <w:rsid w:val="007B728C"/>
    <w:rsid w:val="007B7D12"/>
    <w:rsid w:val="007C29EA"/>
    <w:rsid w:val="007C3AC0"/>
    <w:rsid w:val="007C5E4B"/>
    <w:rsid w:val="007C7E13"/>
    <w:rsid w:val="007D0216"/>
    <w:rsid w:val="007D1057"/>
    <w:rsid w:val="007D372A"/>
    <w:rsid w:val="007D4C96"/>
    <w:rsid w:val="007D4E36"/>
    <w:rsid w:val="007D50DD"/>
    <w:rsid w:val="007D7305"/>
    <w:rsid w:val="007D7D02"/>
    <w:rsid w:val="007E0756"/>
    <w:rsid w:val="007E3D75"/>
    <w:rsid w:val="007E3FDA"/>
    <w:rsid w:val="007F25D6"/>
    <w:rsid w:val="007F2C93"/>
    <w:rsid w:val="007F3610"/>
    <w:rsid w:val="007F383E"/>
    <w:rsid w:val="007F3C31"/>
    <w:rsid w:val="007F4772"/>
    <w:rsid w:val="007F4AC0"/>
    <w:rsid w:val="007F71C4"/>
    <w:rsid w:val="00801F76"/>
    <w:rsid w:val="00802DD1"/>
    <w:rsid w:val="0080327E"/>
    <w:rsid w:val="00803E9D"/>
    <w:rsid w:val="00812060"/>
    <w:rsid w:val="008137A3"/>
    <w:rsid w:val="008139C3"/>
    <w:rsid w:val="00814506"/>
    <w:rsid w:val="0081483E"/>
    <w:rsid w:val="00815A50"/>
    <w:rsid w:val="00815DD4"/>
    <w:rsid w:val="0081641C"/>
    <w:rsid w:val="00823A2D"/>
    <w:rsid w:val="00824C01"/>
    <w:rsid w:val="008260ED"/>
    <w:rsid w:val="00826443"/>
    <w:rsid w:val="00827E03"/>
    <w:rsid w:val="00830084"/>
    <w:rsid w:val="00832070"/>
    <w:rsid w:val="00833F20"/>
    <w:rsid w:val="008363B9"/>
    <w:rsid w:val="00844A79"/>
    <w:rsid w:val="00844DFE"/>
    <w:rsid w:val="00845629"/>
    <w:rsid w:val="00847922"/>
    <w:rsid w:val="00850642"/>
    <w:rsid w:val="00853377"/>
    <w:rsid w:val="00854A96"/>
    <w:rsid w:val="008552B8"/>
    <w:rsid w:val="00860090"/>
    <w:rsid w:val="00860BFF"/>
    <w:rsid w:val="00861712"/>
    <w:rsid w:val="00862227"/>
    <w:rsid w:val="00862FEB"/>
    <w:rsid w:val="00864219"/>
    <w:rsid w:val="00864951"/>
    <w:rsid w:val="00865AFF"/>
    <w:rsid w:val="00865E3C"/>
    <w:rsid w:val="00866161"/>
    <w:rsid w:val="0086787F"/>
    <w:rsid w:val="008708BB"/>
    <w:rsid w:val="00871826"/>
    <w:rsid w:val="00873C75"/>
    <w:rsid w:val="00874337"/>
    <w:rsid w:val="0087515E"/>
    <w:rsid w:val="0087599F"/>
    <w:rsid w:val="008768BF"/>
    <w:rsid w:val="008770C0"/>
    <w:rsid w:val="00877C4F"/>
    <w:rsid w:val="008807CF"/>
    <w:rsid w:val="00880FB2"/>
    <w:rsid w:val="00883706"/>
    <w:rsid w:val="0088503B"/>
    <w:rsid w:val="0088571B"/>
    <w:rsid w:val="00886531"/>
    <w:rsid w:val="0088690F"/>
    <w:rsid w:val="008906C4"/>
    <w:rsid w:val="00890F88"/>
    <w:rsid w:val="00892432"/>
    <w:rsid w:val="00892A1F"/>
    <w:rsid w:val="008A0063"/>
    <w:rsid w:val="008A0978"/>
    <w:rsid w:val="008A23B3"/>
    <w:rsid w:val="008A24FB"/>
    <w:rsid w:val="008A2D75"/>
    <w:rsid w:val="008A3B76"/>
    <w:rsid w:val="008A4129"/>
    <w:rsid w:val="008A609F"/>
    <w:rsid w:val="008A726E"/>
    <w:rsid w:val="008B095C"/>
    <w:rsid w:val="008B1A8C"/>
    <w:rsid w:val="008B350E"/>
    <w:rsid w:val="008B568B"/>
    <w:rsid w:val="008B745F"/>
    <w:rsid w:val="008C0CCC"/>
    <w:rsid w:val="008C1C9F"/>
    <w:rsid w:val="008C1E81"/>
    <w:rsid w:val="008C620E"/>
    <w:rsid w:val="008C6B9E"/>
    <w:rsid w:val="008C793F"/>
    <w:rsid w:val="008C799A"/>
    <w:rsid w:val="008D128B"/>
    <w:rsid w:val="008D32B3"/>
    <w:rsid w:val="008D54B7"/>
    <w:rsid w:val="008D580F"/>
    <w:rsid w:val="008D58AD"/>
    <w:rsid w:val="008D6983"/>
    <w:rsid w:val="008D7DAE"/>
    <w:rsid w:val="008E0E0A"/>
    <w:rsid w:val="008E0E5F"/>
    <w:rsid w:val="008E1992"/>
    <w:rsid w:val="008E1E1A"/>
    <w:rsid w:val="008E228E"/>
    <w:rsid w:val="008E2D71"/>
    <w:rsid w:val="008E4695"/>
    <w:rsid w:val="008E749D"/>
    <w:rsid w:val="008F0090"/>
    <w:rsid w:val="008F040F"/>
    <w:rsid w:val="008F06B3"/>
    <w:rsid w:val="008F389B"/>
    <w:rsid w:val="008F50B6"/>
    <w:rsid w:val="008F6DF1"/>
    <w:rsid w:val="008F6E06"/>
    <w:rsid w:val="008F7535"/>
    <w:rsid w:val="0090165C"/>
    <w:rsid w:val="00905EA6"/>
    <w:rsid w:val="00910896"/>
    <w:rsid w:val="009120D6"/>
    <w:rsid w:val="00913ADC"/>
    <w:rsid w:val="00914B3E"/>
    <w:rsid w:val="00915456"/>
    <w:rsid w:val="0091658A"/>
    <w:rsid w:val="00920D49"/>
    <w:rsid w:val="00922938"/>
    <w:rsid w:val="009249C5"/>
    <w:rsid w:val="009253AE"/>
    <w:rsid w:val="009253C4"/>
    <w:rsid w:val="009264A7"/>
    <w:rsid w:val="00926646"/>
    <w:rsid w:val="00930484"/>
    <w:rsid w:val="009307E4"/>
    <w:rsid w:val="009321C7"/>
    <w:rsid w:val="00934498"/>
    <w:rsid w:val="0093475B"/>
    <w:rsid w:val="009406E6"/>
    <w:rsid w:val="00947694"/>
    <w:rsid w:val="00951651"/>
    <w:rsid w:val="00951941"/>
    <w:rsid w:val="00952B42"/>
    <w:rsid w:val="00953233"/>
    <w:rsid w:val="00953D0A"/>
    <w:rsid w:val="00954EA8"/>
    <w:rsid w:val="0095649F"/>
    <w:rsid w:val="00956948"/>
    <w:rsid w:val="00957746"/>
    <w:rsid w:val="00961D48"/>
    <w:rsid w:val="0096270B"/>
    <w:rsid w:val="009705B9"/>
    <w:rsid w:val="00971708"/>
    <w:rsid w:val="00972935"/>
    <w:rsid w:val="00972D6E"/>
    <w:rsid w:val="00973274"/>
    <w:rsid w:val="00981BBE"/>
    <w:rsid w:val="00981F5F"/>
    <w:rsid w:val="00982AD7"/>
    <w:rsid w:val="00983F13"/>
    <w:rsid w:val="00984C5E"/>
    <w:rsid w:val="009873E4"/>
    <w:rsid w:val="0099279D"/>
    <w:rsid w:val="009930A0"/>
    <w:rsid w:val="00993107"/>
    <w:rsid w:val="0099382C"/>
    <w:rsid w:val="0099559A"/>
    <w:rsid w:val="00995DD3"/>
    <w:rsid w:val="00996A43"/>
    <w:rsid w:val="009A128F"/>
    <w:rsid w:val="009A43F6"/>
    <w:rsid w:val="009B144B"/>
    <w:rsid w:val="009B25E4"/>
    <w:rsid w:val="009B3611"/>
    <w:rsid w:val="009B3B40"/>
    <w:rsid w:val="009B5656"/>
    <w:rsid w:val="009B5F05"/>
    <w:rsid w:val="009B5F41"/>
    <w:rsid w:val="009B76D7"/>
    <w:rsid w:val="009C69E1"/>
    <w:rsid w:val="009D21F8"/>
    <w:rsid w:val="009D2405"/>
    <w:rsid w:val="009D2414"/>
    <w:rsid w:val="009D4827"/>
    <w:rsid w:val="009D5724"/>
    <w:rsid w:val="009D5B45"/>
    <w:rsid w:val="009D686E"/>
    <w:rsid w:val="009D71A1"/>
    <w:rsid w:val="009E2A7E"/>
    <w:rsid w:val="009E40F3"/>
    <w:rsid w:val="009E4884"/>
    <w:rsid w:val="009E4AB2"/>
    <w:rsid w:val="009E4C1D"/>
    <w:rsid w:val="009E7A19"/>
    <w:rsid w:val="009F52A5"/>
    <w:rsid w:val="009F6ED9"/>
    <w:rsid w:val="00A00842"/>
    <w:rsid w:val="00A02C30"/>
    <w:rsid w:val="00A06062"/>
    <w:rsid w:val="00A062B6"/>
    <w:rsid w:val="00A10155"/>
    <w:rsid w:val="00A12B70"/>
    <w:rsid w:val="00A134C4"/>
    <w:rsid w:val="00A1437D"/>
    <w:rsid w:val="00A15DF7"/>
    <w:rsid w:val="00A160CF"/>
    <w:rsid w:val="00A2009C"/>
    <w:rsid w:val="00A21C80"/>
    <w:rsid w:val="00A23A5C"/>
    <w:rsid w:val="00A24C2B"/>
    <w:rsid w:val="00A256F4"/>
    <w:rsid w:val="00A273FC"/>
    <w:rsid w:val="00A30714"/>
    <w:rsid w:val="00A31311"/>
    <w:rsid w:val="00A32A84"/>
    <w:rsid w:val="00A34E2B"/>
    <w:rsid w:val="00A35247"/>
    <w:rsid w:val="00A46FF0"/>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64C0"/>
    <w:rsid w:val="00A677B5"/>
    <w:rsid w:val="00A712EF"/>
    <w:rsid w:val="00A72FF2"/>
    <w:rsid w:val="00A73922"/>
    <w:rsid w:val="00A74A12"/>
    <w:rsid w:val="00A7586F"/>
    <w:rsid w:val="00A75B57"/>
    <w:rsid w:val="00A77094"/>
    <w:rsid w:val="00A81118"/>
    <w:rsid w:val="00A8111B"/>
    <w:rsid w:val="00A82504"/>
    <w:rsid w:val="00A84C58"/>
    <w:rsid w:val="00A860A4"/>
    <w:rsid w:val="00A91788"/>
    <w:rsid w:val="00A9540F"/>
    <w:rsid w:val="00A969F4"/>
    <w:rsid w:val="00A96DB1"/>
    <w:rsid w:val="00A97C0C"/>
    <w:rsid w:val="00AA2B7C"/>
    <w:rsid w:val="00AA5EFE"/>
    <w:rsid w:val="00AA7579"/>
    <w:rsid w:val="00AB07D2"/>
    <w:rsid w:val="00AB0C6F"/>
    <w:rsid w:val="00AB0C8C"/>
    <w:rsid w:val="00AB1028"/>
    <w:rsid w:val="00AB1EAD"/>
    <w:rsid w:val="00AB6700"/>
    <w:rsid w:val="00AB764B"/>
    <w:rsid w:val="00AC0894"/>
    <w:rsid w:val="00AC0BDF"/>
    <w:rsid w:val="00AC239C"/>
    <w:rsid w:val="00AC2FBC"/>
    <w:rsid w:val="00AC336C"/>
    <w:rsid w:val="00AC3D1D"/>
    <w:rsid w:val="00AC4B88"/>
    <w:rsid w:val="00AC6C4D"/>
    <w:rsid w:val="00AC7976"/>
    <w:rsid w:val="00AD3201"/>
    <w:rsid w:val="00AD375A"/>
    <w:rsid w:val="00AD4562"/>
    <w:rsid w:val="00AD480F"/>
    <w:rsid w:val="00AD5631"/>
    <w:rsid w:val="00AE0432"/>
    <w:rsid w:val="00AE0694"/>
    <w:rsid w:val="00AE0C2F"/>
    <w:rsid w:val="00AE26B0"/>
    <w:rsid w:val="00AE29D1"/>
    <w:rsid w:val="00AE364E"/>
    <w:rsid w:val="00AE3DE7"/>
    <w:rsid w:val="00AE4E31"/>
    <w:rsid w:val="00AE6253"/>
    <w:rsid w:val="00AF036C"/>
    <w:rsid w:val="00AF421B"/>
    <w:rsid w:val="00AF459E"/>
    <w:rsid w:val="00AF47B9"/>
    <w:rsid w:val="00AF67D9"/>
    <w:rsid w:val="00AF735B"/>
    <w:rsid w:val="00B0413F"/>
    <w:rsid w:val="00B06355"/>
    <w:rsid w:val="00B06A69"/>
    <w:rsid w:val="00B07496"/>
    <w:rsid w:val="00B10FA6"/>
    <w:rsid w:val="00B111F8"/>
    <w:rsid w:val="00B12F43"/>
    <w:rsid w:val="00B13A4D"/>
    <w:rsid w:val="00B13B9A"/>
    <w:rsid w:val="00B13C58"/>
    <w:rsid w:val="00B15C84"/>
    <w:rsid w:val="00B21FA7"/>
    <w:rsid w:val="00B23632"/>
    <w:rsid w:val="00B245C6"/>
    <w:rsid w:val="00B24E92"/>
    <w:rsid w:val="00B26988"/>
    <w:rsid w:val="00B314EC"/>
    <w:rsid w:val="00B36615"/>
    <w:rsid w:val="00B36AA5"/>
    <w:rsid w:val="00B36E00"/>
    <w:rsid w:val="00B374F8"/>
    <w:rsid w:val="00B420B6"/>
    <w:rsid w:val="00B4239C"/>
    <w:rsid w:val="00B43B04"/>
    <w:rsid w:val="00B442B6"/>
    <w:rsid w:val="00B445CB"/>
    <w:rsid w:val="00B461CA"/>
    <w:rsid w:val="00B507E8"/>
    <w:rsid w:val="00B53832"/>
    <w:rsid w:val="00B53CB1"/>
    <w:rsid w:val="00B55AC3"/>
    <w:rsid w:val="00B564E2"/>
    <w:rsid w:val="00B56578"/>
    <w:rsid w:val="00B5695E"/>
    <w:rsid w:val="00B57383"/>
    <w:rsid w:val="00B57457"/>
    <w:rsid w:val="00B577F6"/>
    <w:rsid w:val="00B6181C"/>
    <w:rsid w:val="00B63056"/>
    <w:rsid w:val="00B63B7B"/>
    <w:rsid w:val="00B63F8F"/>
    <w:rsid w:val="00B67D22"/>
    <w:rsid w:val="00B7058C"/>
    <w:rsid w:val="00B71371"/>
    <w:rsid w:val="00B7192D"/>
    <w:rsid w:val="00B72DA0"/>
    <w:rsid w:val="00B765D7"/>
    <w:rsid w:val="00B767E2"/>
    <w:rsid w:val="00B77DE3"/>
    <w:rsid w:val="00B77FA2"/>
    <w:rsid w:val="00B81980"/>
    <w:rsid w:val="00B834F6"/>
    <w:rsid w:val="00B83C18"/>
    <w:rsid w:val="00B83DD8"/>
    <w:rsid w:val="00B8699E"/>
    <w:rsid w:val="00B90E7D"/>
    <w:rsid w:val="00B9119D"/>
    <w:rsid w:val="00B92D16"/>
    <w:rsid w:val="00B932F0"/>
    <w:rsid w:val="00B95419"/>
    <w:rsid w:val="00BA1C37"/>
    <w:rsid w:val="00BA2EB5"/>
    <w:rsid w:val="00BA3798"/>
    <w:rsid w:val="00BA3D58"/>
    <w:rsid w:val="00BA65A5"/>
    <w:rsid w:val="00BB276F"/>
    <w:rsid w:val="00BB3E5E"/>
    <w:rsid w:val="00BB53FB"/>
    <w:rsid w:val="00BB6FEF"/>
    <w:rsid w:val="00BC1910"/>
    <w:rsid w:val="00BC1C59"/>
    <w:rsid w:val="00BC1CDF"/>
    <w:rsid w:val="00BC2699"/>
    <w:rsid w:val="00BC27B4"/>
    <w:rsid w:val="00BC297B"/>
    <w:rsid w:val="00BC4169"/>
    <w:rsid w:val="00BC541F"/>
    <w:rsid w:val="00BC5F6F"/>
    <w:rsid w:val="00BC680C"/>
    <w:rsid w:val="00BC6DBA"/>
    <w:rsid w:val="00BD1024"/>
    <w:rsid w:val="00BD1487"/>
    <w:rsid w:val="00BD1B91"/>
    <w:rsid w:val="00BD1C71"/>
    <w:rsid w:val="00BD34DE"/>
    <w:rsid w:val="00BD46D4"/>
    <w:rsid w:val="00BD48D3"/>
    <w:rsid w:val="00BD5BA6"/>
    <w:rsid w:val="00BD7AE7"/>
    <w:rsid w:val="00BE3CF5"/>
    <w:rsid w:val="00BF0771"/>
    <w:rsid w:val="00BF16F9"/>
    <w:rsid w:val="00BF17AB"/>
    <w:rsid w:val="00BF1EE6"/>
    <w:rsid w:val="00BF28E1"/>
    <w:rsid w:val="00BF2DAD"/>
    <w:rsid w:val="00BF3A25"/>
    <w:rsid w:val="00BF3E68"/>
    <w:rsid w:val="00BF3F7A"/>
    <w:rsid w:val="00C0100A"/>
    <w:rsid w:val="00C010A4"/>
    <w:rsid w:val="00C01983"/>
    <w:rsid w:val="00C06D47"/>
    <w:rsid w:val="00C07DED"/>
    <w:rsid w:val="00C10F8C"/>
    <w:rsid w:val="00C13A04"/>
    <w:rsid w:val="00C13EB6"/>
    <w:rsid w:val="00C15DCA"/>
    <w:rsid w:val="00C163BE"/>
    <w:rsid w:val="00C17017"/>
    <w:rsid w:val="00C212B5"/>
    <w:rsid w:val="00C22067"/>
    <w:rsid w:val="00C231C5"/>
    <w:rsid w:val="00C2368B"/>
    <w:rsid w:val="00C24A17"/>
    <w:rsid w:val="00C24C84"/>
    <w:rsid w:val="00C254A3"/>
    <w:rsid w:val="00C25ACF"/>
    <w:rsid w:val="00C25D1D"/>
    <w:rsid w:val="00C26278"/>
    <w:rsid w:val="00C27900"/>
    <w:rsid w:val="00C27A27"/>
    <w:rsid w:val="00C32E1A"/>
    <w:rsid w:val="00C332DD"/>
    <w:rsid w:val="00C34DD6"/>
    <w:rsid w:val="00C36C4D"/>
    <w:rsid w:val="00C36E57"/>
    <w:rsid w:val="00C371CC"/>
    <w:rsid w:val="00C40929"/>
    <w:rsid w:val="00C46272"/>
    <w:rsid w:val="00C47EF5"/>
    <w:rsid w:val="00C54026"/>
    <w:rsid w:val="00C5499A"/>
    <w:rsid w:val="00C60035"/>
    <w:rsid w:val="00C619DC"/>
    <w:rsid w:val="00C62EA4"/>
    <w:rsid w:val="00C65187"/>
    <w:rsid w:val="00C72587"/>
    <w:rsid w:val="00C73D7A"/>
    <w:rsid w:val="00C745B9"/>
    <w:rsid w:val="00C74B4D"/>
    <w:rsid w:val="00C8039F"/>
    <w:rsid w:val="00C80A8D"/>
    <w:rsid w:val="00C85E46"/>
    <w:rsid w:val="00C87020"/>
    <w:rsid w:val="00C90B3C"/>
    <w:rsid w:val="00C914F4"/>
    <w:rsid w:val="00C915C3"/>
    <w:rsid w:val="00C93934"/>
    <w:rsid w:val="00C93B5E"/>
    <w:rsid w:val="00C93BAE"/>
    <w:rsid w:val="00C957B3"/>
    <w:rsid w:val="00C9600E"/>
    <w:rsid w:val="00C96586"/>
    <w:rsid w:val="00CA020F"/>
    <w:rsid w:val="00CA3FFD"/>
    <w:rsid w:val="00CA60ED"/>
    <w:rsid w:val="00CB04C5"/>
    <w:rsid w:val="00CB09CD"/>
    <w:rsid w:val="00CB19D1"/>
    <w:rsid w:val="00CB221D"/>
    <w:rsid w:val="00CB397E"/>
    <w:rsid w:val="00CB40C8"/>
    <w:rsid w:val="00CB4459"/>
    <w:rsid w:val="00CB4D92"/>
    <w:rsid w:val="00CB5ACD"/>
    <w:rsid w:val="00CB5E05"/>
    <w:rsid w:val="00CB670B"/>
    <w:rsid w:val="00CB6E46"/>
    <w:rsid w:val="00CB70C6"/>
    <w:rsid w:val="00CB7C36"/>
    <w:rsid w:val="00CC08E7"/>
    <w:rsid w:val="00CC0B8E"/>
    <w:rsid w:val="00CC2287"/>
    <w:rsid w:val="00CC25A3"/>
    <w:rsid w:val="00CC295F"/>
    <w:rsid w:val="00CC59C5"/>
    <w:rsid w:val="00CC5ED1"/>
    <w:rsid w:val="00CC61B6"/>
    <w:rsid w:val="00CC61C4"/>
    <w:rsid w:val="00CC75A5"/>
    <w:rsid w:val="00CC7DD4"/>
    <w:rsid w:val="00CD050F"/>
    <w:rsid w:val="00CD08E5"/>
    <w:rsid w:val="00CD1A56"/>
    <w:rsid w:val="00CD1C90"/>
    <w:rsid w:val="00CD31F6"/>
    <w:rsid w:val="00CD3FBE"/>
    <w:rsid w:val="00CD416E"/>
    <w:rsid w:val="00CD7012"/>
    <w:rsid w:val="00CD71B0"/>
    <w:rsid w:val="00CD72B7"/>
    <w:rsid w:val="00CE03FC"/>
    <w:rsid w:val="00CE4C9D"/>
    <w:rsid w:val="00CE7A5D"/>
    <w:rsid w:val="00CF1928"/>
    <w:rsid w:val="00CF36CB"/>
    <w:rsid w:val="00CF49B0"/>
    <w:rsid w:val="00CF4C01"/>
    <w:rsid w:val="00CF6782"/>
    <w:rsid w:val="00D00D6B"/>
    <w:rsid w:val="00D013F6"/>
    <w:rsid w:val="00D03C6E"/>
    <w:rsid w:val="00D061DC"/>
    <w:rsid w:val="00D06E40"/>
    <w:rsid w:val="00D077CD"/>
    <w:rsid w:val="00D07BFD"/>
    <w:rsid w:val="00D10716"/>
    <w:rsid w:val="00D12025"/>
    <w:rsid w:val="00D14447"/>
    <w:rsid w:val="00D177F2"/>
    <w:rsid w:val="00D20279"/>
    <w:rsid w:val="00D204A0"/>
    <w:rsid w:val="00D20949"/>
    <w:rsid w:val="00D21842"/>
    <w:rsid w:val="00D21F1C"/>
    <w:rsid w:val="00D25149"/>
    <w:rsid w:val="00D31977"/>
    <w:rsid w:val="00D323E6"/>
    <w:rsid w:val="00D32837"/>
    <w:rsid w:val="00D32CBF"/>
    <w:rsid w:val="00D338AC"/>
    <w:rsid w:val="00D36359"/>
    <w:rsid w:val="00D4071C"/>
    <w:rsid w:val="00D41F79"/>
    <w:rsid w:val="00D4287B"/>
    <w:rsid w:val="00D429C6"/>
    <w:rsid w:val="00D44289"/>
    <w:rsid w:val="00D4435D"/>
    <w:rsid w:val="00D4576E"/>
    <w:rsid w:val="00D45D99"/>
    <w:rsid w:val="00D52724"/>
    <w:rsid w:val="00D52D99"/>
    <w:rsid w:val="00D5306C"/>
    <w:rsid w:val="00D532F1"/>
    <w:rsid w:val="00D53753"/>
    <w:rsid w:val="00D5558E"/>
    <w:rsid w:val="00D5607B"/>
    <w:rsid w:val="00D60146"/>
    <w:rsid w:val="00D614E6"/>
    <w:rsid w:val="00D63E9C"/>
    <w:rsid w:val="00D662F4"/>
    <w:rsid w:val="00D66B7E"/>
    <w:rsid w:val="00D66D3B"/>
    <w:rsid w:val="00D713EF"/>
    <w:rsid w:val="00D719BE"/>
    <w:rsid w:val="00D721E3"/>
    <w:rsid w:val="00D725D6"/>
    <w:rsid w:val="00D72CED"/>
    <w:rsid w:val="00D74976"/>
    <w:rsid w:val="00D74C71"/>
    <w:rsid w:val="00D83267"/>
    <w:rsid w:val="00D85517"/>
    <w:rsid w:val="00D916EC"/>
    <w:rsid w:val="00D918A6"/>
    <w:rsid w:val="00D91AA1"/>
    <w:rsid w:val="00D91B4A"/>
    <w:rsid w:val="00D91B8D"/>
    <w:rsid w:val="00D92ACC"/>
    <w:rsid w:val="00D95F15"/>
    <w:rsid w:val="00D96097"/>
    <w:rsid w:val="00D976AD"/>
    <w:rsid w:val="00D9773A"/>
    <w:rsid w:val="00DA0190"/>
    <w:rsid w:val="00DA17A2"/>
    <w:rsid w:val="00DA2382"/>
    <w:rsid w:val="00DA2E4B"/>
    <w:rsid w:val="00DA52CE"/>
    <w:rsid w:val="00DA5BE7"/>
    <w:rsid w:val="00DA6A1B"/>
    <w:rsid w:val="00DB1BFE"/>
    <w:rsid w:val="00DB2A13"/>
    <w:rsid w:val="00DB3B96"/>
    <w:rsid w:val="00DB69C9"/>
    <w:rsid w:val="00DB7203"/>
    <w:rsid w:val="00DC0D4F"/>
    <w:rsid w:val="00DC213F"/>
    <w:rsid w:val="00DC4626"/>
    <w:rsid w:val="00DC4748"/>
    <w:rsid w:val="00DC5E0B"/>
    <w:rsid w:val="00DC74DB"/>
    <w:rsid w:val="00DD0846"/>
    <w:rsid w:val="00DD0F63"/>
    <w:rsid w:val="00DD480A"/>
    <w:rsid w:val="00DD4850"/>
    <w:rsid w:val="00DD4E1C"/>
    <w:rsid w:val="00DE1D39"/>
    <w:rsid w:val="00DE2F27"/>
    <w:rsid w:val="00DE4033"/>
    <w:rsid w:val="00DE49D3"/>
    <w:rsid w:val="00DF36E9"/>
    <w:rsid w:val="00DF4CEE"/>
    <w:rsid w:val="00DF4E6D"/>
    <w:rsid w:val="00DF6CA4"/>
    <w:rsid w:val="00DF73DE"/>
    <w:rsid w:val="00E006E6"/>
    <w:rsid w:val="00E03566"/>
    <w:rsid w:val="00E05376"/>
    <w:rsid w:val="00E0554E"/>
    <w:rsid w:val="00E07E44"/>
    <w:rsid w:val="00E1040C"/>
    <w:rsid w:val="00E1057D"/>
    <w:rsid w:val="00E1355A"/>
    <w:rsid w:val="00E16234"/>
    <w:rsid w:val="00E205DC"/>
    <w:rsid w:val="00E218CA"/>
    <w:rsid w:val="00E22B64"/>
    <w:rsid w:val="00E2333A"/>
    <w:rsid w:val="00E23829"/>
    <w:rsid w:val="00E240E3"/>
    <w:rsid w:val="00E2426B"/>
    <w:rsid w:val="00E25875"/>
    <w:rsid w:val="00E27A5D"/>
    <w:rsid w:val="00E3056D"/>
    <w:rsid w:val="00E307CF"/>
    <w:rsid w:val="00E3139B"/>
    <w:rsid w:val="00E3529A"/>
    <w:rsid w:val="00E35A1E"/>
    <w:rsid w:val="00E366C3"/>
    <w:rsid w:val="00E36B6C"/>
    <w:rsid w:val="00E36B90"/>
    <w:rsid w:val="00E37644"/>
    <w:rsid w:val="00E40AB1"/>
    <w:rsid w:val="00E41CB6"/>
    <w:rsid w:val="00E41FFE"/>
    <w:rsid w:val="00E42EFE"/>
    <w:rsid w:val="00E43AAD"/>
    <w:rsid w:val="00E44958"/>
    <w:rsid w:val="00E44F2B"/>
    <w:rsid w:val="00E45C9B"/>
    <w:rsid w:val="00E45D4C"/>
    <w:rsid w:val="00E45EE6"/>
    <w:rsid w:val="00E47410"/>
    <w:rsid w:val="00E51985"/>
    <w:rsid w:val="00E51D21"/>
    <w:rsid w:val="00E52AF4"/>
    <w:rsid w:val="00E53BBA"/>
    <w:rsid w:val="00E546D6"/>
    <w:rsid w:val="00E550B4"/>
    <w:rsid w:val="00E56FDD"/>
    <w:rsid w:val="00E606D1"/>
    <w:rsid w:val="00E615E0"/>
    <w:rsid w:val="00E61B29"/>
    <w:rsid w:val="00E62171"/>
    <w:rsid w:val="00E64162"/>
    <w:rsid w:val="00E65E8C"/>
    <w:rsid w:val="00E66F47"/>
    <w:rsid w:val="00E67830"/>
    <w:rsid w:val="00E73871"/>
    <w:rsid w:val="00E73EBA"/>
    <w:rsid w:val="00E75FC0"/>
    <w:rsid w:val="00E82617"/>
    <w:rsid w:val="00E827C6"/>
    <w:rsid w:val="00E84D48"/>
    <w:rsid w:val="00E86EDC"/>
    <w:rsid w:val="00E9009B"/>
    <w:rsid w:val="00E9124C"/>
    <w:rsid w:val="00E916A1"/>
    <w:rsid w:val="00E961C5"/>
    <w:rsid w:val="00EA1296"/>
    <w:rsid w:val="00EA36E2"/>
    <w:rsid w:val="00EB017B"/>
    <w:rsid w:val="00EB1438"/>
    <w:rsid w:val="00EB1B65"/>
    <w:rsid w:val="00EB2942"/>
    <w:rsid w:val="00EB3788"/>
    <w:rsid w:val="00EB45C4"/>
    <w:rsid w:val="00EC142B"/>
    <w:rsid w:val="00EC4D59"/>
    <w:rsid w:val="00EC5450"/>
    <w:rsid w:val="00EC54BE"/>
    <w:rsid w:val="00EC705F"/>
    <w:rsid w:val="00ED0206"/>
    <w:rsid w:val="00ED2190"/>
    <w:rsid w:val="00ED28CE"/>
    <w:rsid w:val="00ED3B4D"/>
    <w:rsid w:val="00ED3F29"/>
    <w:rsid w:val="00ED42EA"/>
    <w:rsid w:val="00ED514A"/>
    <w:rsid w:val="00ED60C5"/>
    <w:rsid w:val="00EE4FC7"/>
    <w:rsid w:val="00EE554D"/>
    <w:rsid w:val="00EF0005"/>
    <w:rsid w:val="00EF0890"/>
    <w:rsid w:val="00EF1F19"/>
    <w:rsid w:val="00EF489E"/>
    <w:rsid w:val="00EF7D24"/>
    <w:rsid w:val="00F045F2"/>
    <w:rsid w:val="00F05A0B"/>
    <w:rsid w:val="00F0646C"/>
    <w:rsid w:val="00F06B96"/>
    <w:rsid w:val="00F06FD2"/>
    <w:rsid w:val="00F1051B"/>
    <w:rsid w:val="00F11044"/>
    <w:rsid w:val="00F117C5"/>
    <w:rsid w:val="00F11842"/>
    <w:rsid w:val="00F11FB5"/>
    <w:rsid w:val="00F12849"/>
    <w:rsid w:val="00F1345A"/>
    <w:rsid w:val="00F21C56"/>
    <w:rsid w:val="00F22E35"/>
    <w:rsid w:val="00F242B6"/>
    <w:rsid w:val="00F263D6"/>
    <w:rsid w:val="00F303F6"/>
    <w:rsid w:val="00F33E67"/>
    <w:rsid w:val="00F35355"/>
    <w:rsid w:val="00F355BD"/>
    <w:rsid w:val="00F35667"/>
    <w:rsid w:val="00F3578E"/>
    <w:rsid w:val="00F40217"/>
    <w:rsid w:val="00F40870"/>
    <w:rsid w:val="00F40948"/>
    <w:rsid w:val="00F41359"/>
    <w:rsid w:val="00F42141"/>
    <w:rsid w:val="00F43851"/>
    <w:rsid w:val="00F439B0"/>
    <w:rsid w:val="00F4446C"/>
    <w:rsid w:val="00F44DCE"/>
    <w:rsid w:val="00F4599E"/>
    <w:rsid w:val="00F47AB9"/>
    <w:rsid w:val="00F500DA"/>
    <w:rsid w:val="00F52A94"/>
    <w:rsid w:val="00F53270"/>
    <w:rsid w:val="00F629E8"/>
    <w:rsid w:val="00F6446B"/>
    <w:rsid w:val="00F64706"/>
    <w:rsid w:val="00F6651A"/>
    <w:rsid w:val="00F70173"/>
    <w:rsid w:val="00F7166A"/>
    <w:rsid w:val="00F71ACF"/>
    <w:rsid w:val="00F71F61"/>
    <w:rsid w:val="00F7312D"/>
    <w:rsid w:val="00F73675"/>
    <w:rsid w:val="00F73F87"/>
    <w:rsid w:val="00F75724"/>
    <w:rsid w:val="00F75EF7"/>
    <w:rsid w:val="00F77041"/>
    <w:rsid w:val="00F776EB"/>
    <w:rsid w:val="00F80565"/>
    <w:rsid w:val="00F822E2"/>
    <w:rsid w:val="00F82353"/>
    <w:rsid w:val="00F83675"/>
    <w:rsid w:val="00F86771"/>
    <w:rsid w:val="00F90F4A"/>
    <w:rsid w:val="00F9192D"/>
    <w:rsid w:val="00F92D62"/>
    <w:rsid w:val="00F936C8"/>
    <w:rsid w:val="00F93775"/>
    <w:rsid w:val="00F9581E"/>
    <w:rsid w:val="00F96B68"/>
    <w:rsid w:val="00F96E2B"/>
    <w:rsid w:val="00FA0EB6"/>
    <w:rsid w:val="00FA156F"/>
    <w:rsid w:val="00FA3458"/>
    <w:rsid w:val="00FA3915"/>
    <w:rsid w:val="00FA5A5C"/>
    <w:rsid w:val="00FA5E5C"/>
    <w:rsid w:val="00FA5FA5"/>
    <w:rsid w:val="00FA6911"/>
    <w:rsid w:val="00FB1DDA"/>
    <w:rsid w:val="00FB5179"/>
    <w:rsid w:val="00FB5715"/>
    <w:rsid w:val="00FB57C3"/>
    <w:rsid w:val="00FB5991"/>
    <w:rsid w:val="00FB59BC"/>
    <w:rsid w:val="00FB7482"/>
    <w:rsid w:val="00FB7A75"/>
    <w:rsid w:val="00FC148B"/>
    <w:rsid w:val="00FC1E04"/>
    <w:rsid w:val="00FC1F73"/>
    <w:rsid w:val="00FC2A2E"/>
    <w:rsid w:val="00FC4194"/>
    <w:rsid w:val="00FC6D68"/>
    <w:rsid w:val="00FC751E"/>
    <w:rsid w:val="00FD3AAE"/>
    <w:rsid w:val="00FD4F76"/>
    <w:rsid w:val="00FD6990"/>
    <w:rsid w:val="00FE295D"/>
    <w:rsid w:val="00FE2B82"/>
    <w:rsid w:val="00FE3889"/>
    <w:rsid w:val="00FE48E5"/>
    <w:rsid w:val="00FE563D"/>
    <w:rsid w:val="00FE5AC6"/>
    <w:rsid w:val="00FE6021"/>
    <w:rsid w:val="00FF3311"/>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5:docId w15:val="{A8098773-4771-48F3-91BF-0B55D797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uiPriority w:val="1"/>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E1202-F951-4BFA-9821-C6054E81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3552</Words>
  <Characters>19542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14</cp:revision>
  <cp:lastPrinted>2022-03-31T17:59:00Z</cp:lastPrinted>
  <dcterms:created xsi:type="dcterms:W3CDTF">2022-03-31T15:35:00Z</dcterms:created>
  <dcterms:modified xsi:type="dcterms:W3CDTF">2022-03-31T18:20:00Z</dcterms:modified>
</cp:coreProperties>
</file>