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75EE0" w14:textId="447769F5" w:rsidR="00E03D2E" w:rsidRPr="00880F5F" w:rsidRDefault="00E03D2E" w:rsidP="000F3649">
      <w:pPr>
        <w:pStyle w:val="Sinespaciado"/>
        <w:spacing w:line="276" w:lineRule="auto"/>
        <w:jc w:val="both"/>
        <w:rPr>
          <w:rFonts w:ascii="Arial" w:hAnsi="Arial" w:cs="Arial"/>
          <w:b/>
          <w:sz w:val="24"/>
          <w:szCs w:val="24"/>
          <w:lang w:val="es-ES"/>
        </w:rPr>
      </w:pPr>
      <w:r w:rsidRPr="00880F5F">
        <w:rPr>
          <w:rFonts w:ascii="Arial" w:hAnsi="Arial" w:cs="Arial"/>
          <w:b/>
          <w:sz w:val="24"/>
          <w:szCs w:val="24"/>
          <w:lang w:val="es-ES"/>
        </w:rPr>
        <w:t xml:space="preserve">RESOLUCIÓN DEL CONSEJO GENERAL DEL INSTITUTO ELECTORAL Y DE PARTICIPACIÓN CIUDADANA DEL ESTADO DE JALISCO, RELATIVO AL RECURSO DE REVISIÓN </w:t>
      </w:r>
      <w:r w:rsidR="00E162F7" w:rsidRPr="00880F5F">
        <w:rPr>
          <w:rFonts w:ascii="Arial" w:hAnsi="Arial" w:cs="Arial"/>
          <w:b/>
          <w:sz w:val="24"/>
          <w:szCs w:val="24"/>
          <w:lang w:val="es-ES"/>
        </w:rPr>
        <w:t>R</w:t>
      </w:r>
      <w:r w:rsidR="0071196B" w:rsidRPr="00880F5F">
        <w:rPr>
          <w:rFonts w:ascii="Arial" w:hAnsi="Arial" w:cs="Arial"/>
          <w:b/>
          <w:sz w:val="24"/>
          <w:szCs w:val="24"/>
          <w:lang w:val="es-ES"/>
        </w:rPr>
        <w:t>ADICADO CON EL NÚMERO REV-0</w:t>
      </w:r>
      <w:r w:rsidR="004A0D87" w:rsidRPr="00880F5F">
        <w:rPr>
          <w:rFonts w:ascii="Arial" w:hAnsi="Arial" w:cs="Arial"/>
          <w:b/>
          <w:sz w:val="24"/>
          <w:szCs w:val="24"/>
          <w:lang w:val="es-ES"/>
        </w:rPr>
        <w:t>03</w:t>
      </w:r>
      <w:r w:rsidR="00616064" w:rsidRPr="00880F5F">
        <w:rPr>
          <w:rFonts w:ascii="Arial" w:hAnsi="Arial" w:cs="Arial"/>
          <w:b/>
          <w:sz w:val="24"/>
          <w:szCs w:val="24"/>
          <w:lang w:val="es-ES"/>
        </w:rPr>
        <w:t>/2022</w:t>
      </w:r>
      <w:r w:rsidR="00E64955" w:rsidRPr="00880F5F">
        <w:rPr>
          <w:rFonts w:ascii="Arial" w:hAnsi="Arial" w:cs="Arial"/>
          <w:b/>
          <w:sz w:val="24"/>
          <w:szCs w:val="24"/>
          <w:lang w:val="es-ES"/>
        </w:rPr>
        <w:t>,</w:t>
      </w:r>
      <w:r w:rsidR="0071196B" w:rsidRPr="00880F5F">
        <w:rPr>
          <w:rFonts w:ascii="Arial" w:hAnsi="Arial" w:cs="Arial"/>
          <w:b/>
          <w:sz w:val="24"/>
          <w:szCs w:val="24"/>
          <w:lang w:val="es-ES"/>
        </w:rPr>
        <w:t xml:space="preserve"> </w:t>
      </w:r>
      <w:r w:rsidRPr="00880F5F">
        <w:rPr>
          <w:rFonts w:ascii="Arial" w:hAnsi="Arial" w:cs="Arial"/>
          <w:b/>
          <w:sz w:val="24"/>
          <w:szCs w:val="24"/>
          <w:lang w:val="es-ES"/>
        </w:rPr>
        <w:t>PROMOVIDO</w:t>
      </w:r>
      <w:r w:rsidR="00AD3CC0" w:rsidRPr="00880F5F">
        <w:rPr>
          <w:rFonts w:ascii="Arial" w:hAnsi="Arial" w:cs="Arial"/>
          <w:b/>
          <w:sz w:val="24"/>
          <w:szCs w:val="24"/>
          <w:lang w:val="es-ES"/>
        </w:rPr>
        <w:t xml:space="preserve"> </w:t>
      </w:r>
      <w:r w:rsidRPr="00880F5F">
        <w:rPr>
          <w:rFonts w:ascii="Arial" w:hAnsi="Arial" w:cs="Arial"/>
          <w:b/>
          <w:sz w:val="24"/>
          <w:szCs w:val="24"/>
          <w:lang w:val="es-ES"/>
        </w:rPr>
        <w:t>POR</w:t>
      </w:r>
      <w:r w:rsidR="00AD3CC0" w:rsidRPr="00880F5F">
        <w:rPr>
          <w:rFonts w:ascii="Arial" w:hAnsi="Arial" w:cs="Arial"/>
          <w:b/>
          <w:sz w:val="24"/>
          <w:szCs w:val="24"/>
          <w:lang w:val="es-ES"/>
        </w:rPr>
        <w:t xml:space="preserve"> </w:t>
      </w:r>
      <w:r w:rsidR="00AB5C96" w:rsidRPr="00880F5F">
        <w:rPr>
          <w:rFonts w:ascii="Arial" w:hAnsi="Arial" w:cs="Arial"/>
          <w:b/>
          <w:sz w:val="24"/>
          <w:szCs w:val="24"/>
          <w:lang w:val="es-ES"/>
        </w:rPr>
        <w:t>E</w:t>
      </w:r>
      <w:r w:rsidR="003D3A9F" w:rsidRPr="00880F5F">
        <w:rPr>
          <w:rFonts w:ascii="Arial" w:hAnsi="Arial" w:cs="Arial"/>
          <w:b/>
          <w:sz w:val="24"/>
          <w:szCs w:val="24"/>
          <w:lang w:val="es-ES"/>
        </w:rPr>
        <w:t>L</w:t>
      </w:r>
      <w:r w:rsidR="00AB5C96" w:rsidRPr="00880F5F">
        <w:rPr>
          <w:rFonts w:ascii="Arial" w:hAnsi="Arial" w:cs="Arial"/>
          <w:b/>
          <w:sz w:val="24"/>
          <w:szCs w:val="24"/>
          <w:lang w:val="es-ES"/>
        </w:rPr>
        <w:t xml:space="preserve"> </w:t>
      </w:r>
      <w:r w:rsidR="003D3A9F" w:rsidRPr="00880F5F">
        <w:rPr>
          <w:rFonts w:ascii="Arial" w:hAnsi="Arial" w:cs="Arial"/>
          <w:b/>
          <w:sz w:val="24"/>
          <w:szCs w:val="24"/>
          <w:lang w:val="es-ES"/>
        </w:rPr>
        <w:t xml:space="preserve">PARTIDO POLÍTICO MORENA POR CONDUCTO DE SU REPRESENTANTE ANTE ESTE ÓRGANO COLEGIADO, EL </w:t>
      </w:r>
      <w:r w:rsidR="00AB5C96" w:rsidRPr="00880F5F">
        <w:rPr>
          <w:rFonts w:ascii="Arial" w:hAnsi="Arial" w:cs="Arial"/>
          <w:b/>
          <w:sz w:val="24"/>
          <w:szCs w:val="24"/>
          <w:lang w:val="es-ES"/>
        </w:rPr>
        <w:t>CIUDADANO</w:t>
      </w:r>
      <w:r w:rsidR="00AD3CC0" w:rsidRPr="00880F5F">
        <w:rPr>
          <w:rFonts w:ascii="Arial" w:hAnsi="Arial" w:cs="Arial"/>
          <w:b/>
          <w:sz w:val="24"/>
          <w:szCs w:val="24"/>
          <w:lang w:val="es-ES"/>
        </w:rPr>
        <w:t xml:space="preserve"> </w:t>
      </w:r>
      <w:r w:rsidR="004A0D87" w:rsidRPr="00880F5F">
        <w:rPr>
          <w:rFonts w:ascii="Arial" w:hAnsi="Arial" w:cs="Arial"/>
          <w:b/>
          <w:sz w:val="24"/>
          <w:szCs w:val="24"/>
          <w:lang w:val="es-ES"/>
        </w:rPr>
        <w:t>JAIME HERNÁNDEZ ORTIZ</w:t>
      </w:r>
      <w:r w:rsidR="0054519A" w:rsidRPr="00880F5F">
        <w:rPr>
          <w:rFonts w:ascii="Arial" w:hAnsi="Arial" w:cs="Arial"/>
          <w:b/>
          <w:sz w:val="24"/>
          <w:szCs w:val="24"/>
          <w:lang w:val="es-ES"/>
        </w:rPr>
        <w:t>.</w:t>
      </w:r>
      <w:r w:rsidR="00E64955" w:rsidRPr="00880F5F">
        <w:rPr>
          <w:rFonts w:ascii="Arial" w:hAnsi="Arial" w:cs="Arial"/>
          <w:b/>
          <w:sz w:val="24"/>
          <w:szCs w:val="24"/>
          <w:lang w:val="es-ES"/>
        </w:rPr>
        <w:t xml:space="preserve"> </w:t>
      </w:r>
    </w:p>
    <w:p w14:paraId="560F6D53" w14:textId="77777777" w:rsidR="00E64955" w:rsidRPr="00880F5F" w:rsidRDefault="00E64955" w:rsidP="000F3649">
      <w:pPr>
        <w:pStyle w:val="Sinespaciado"/>
        <w:spacing w:line="276" w:lineRule="auto"/>
        <w:jc w:val="both"/>
        <w:rPr>
          <w:rFonts w:ascii="Arial" w:hAnsi="Arial" w:cs="Arial"/>
          <w:sz w:val="24"/>
          <w:szCs w:val="24"/>
          <w:lang w:val="es-ES"/>
        </w:rPr>
      </w:pPr>
    </w:p>
    <w:p w14:paraId="28E1DA9A" w14:textId="5805F3A9" w:rsidR="00E03D2E" w:rsidRPr="00880F5F" w:rsidRDefault="00E03D2E" w:rsidP="000F3649">
      <w:pPr>
        <w:pStyle w:val="Sinespaciado"/>
        <w:spacing w:line="276" w:lineRule="auto"/>
        <w:jc w:val="both"/>
        <w:rPr>
          <w:rFonts w:ascii="Arial" w:hAnsi="Arial" w:cs="Arial"/>
          <w:sz w:val="24"/>
          <w:szCs w:val="24"/>
        </w:rPr>
      </w:pPr>
      <w:r w:rsidRPr="00880F5F">
        <w:rPr>
          <w:rFonts w:ascii="Arial" w:hAnsi="Arial" w:cs="Arial"/>
          <w:sz w:val="24"/>
          <w:szCs w:val="24"/>
          <w:lang w:val="es-ES_tradnl"/>
        </w:rPr>
        <w:t xml:space="preserve">Vistos para resolver los autos del expediente identificado con el número citado al rubro, formado con motivo del </w:t>
      </w:r>
      <w:r w:rsidRPr="00880F5F">
        <w:rPr>
          <w:rFonts w:ascii="Arial" w:hAnsi="Arial" w:cs="Arial"/>
          <w:sz w:val="24"/>
          <w:szCs w:val="24"/>
        </w:rPr>
        <w:t>R</w:t>
      </w:r>
      <w:r w:rsidR="00687C81" w:rsidRPr="00880F5F">
        <w:rPr>
          <w:rFonts w:ascii="Arial" w:hAnsi="Arial" w:cs="Arial"/>
          <w:sz w:val="24"/>
          <w:szCs w:val="24"/>
        </w:rPr>
        <w:t xml:space="preserve">ecurso de Revisión </w:t>
      </w:r>
      <w:r w:rsidRPr="00880F5F">
        <w:rPr>
          <w:rFonts w:ascii="Arial" w:hAnsi="Arial" w:cs="Arial"/>
          <w:sz w:val="24"/>
          <w:szCs w:val="24"/>
        </w:rPr>
        <w:t>promovido por</w:t>
      </w:r>
      <w:r w:rsidR="006D6B82" w:rsidRPr="00880F5F">
        <w:rPr>
          <w:rFonts w:ascii="Arial" w:hAnsi="Arial" w:cs="Arial"/>
          <w:sz w:val="24"/>
          <w:szCs w:val="24"/>
        </w:rPr>
        <w:t xml:space="preserve"> </w:t>
      </w:r>
      <w:r w:rsidR="00E43B41" w:rsidRPr="00880F5F">
        <w:rPr>
          <w:rFonts w:ascii="Arial" w:hAnsi="Arial" w:cs="Arial"/>
          <w:sz w:val="24"/>
          <w:szCs w:val="24"/>
        </w:rPr>
        <w:t>Jaime Hernández Ortiz</w:t>
      </w:r>
      <w:r w:rsidR="00E64955" w:rsidRPr="00880F5F">
        <w:rPr>
          <w:rFonts w:ascii="Arial" w:hAnsi="Arial" w:cs="Arial"/>
          <w:sz w:val="24"/>
          <w:szCs w:val="24"/>
          <w:lang w:val="es-ES"/>
        </w:rPr>
        <w:t xml:space="preserve">, </w:t>
      </w:r>
      <w:r w:rsidRPr="00880F5F">
        <w:rPr>
          <w:rFonts w:ascii="Arial" w:hAnsi="Arial" w:cs="Arial"/>
          <w:sz w:val="24"/>
          <w:szCs w:val="24"/>
        </w:rPr>
        <w:t xml:space="preserve">contra </w:t>
      </w:r>
      <w:r w:rsidR="006D6B82" w:rsidRPr="00880F5F">
        <w:rPr>
          <w:rFonts w:ascii="Arial" w:hAnsi="Arial" w:cs="Arial"/>
          <w:sz w:val="24"/>
          <w:szCs w:val="24"/>
        </w:rPr>
        <w:t>el acuerdo</w:t>
      </w:r>
      <w:r w:rsidR="00157CE7" w:rsidRPr="00880F5F">
        <w:rPr>
          <w:rFonts w:ascii="Arial" w:hAnsi="Arial" w:cs="Arial"/>
          <w:sz w:val="24"/>
          <w:szCs w:val="24"/>
        </w:rPr>
        <w:t xml:space="preserve"> de </w:t>
      </w:r>
      <w:r w:rsidR="00E43B41" w:rsidRPr="00880F5F">
        <w:rPr>
          <w:rFonts w:ascii="Arial" w:hAnsi="Arial" w:cs="Arial"/>
          <w:sz w:val="24"/>
          <w:szCs w:val="24"/>
        </w:rPr>
        <w:t xml:space="preserve">dieciocho </w:t>
      </w:r>
      <w:r w:rsidR="00687C81" w:rsidRPr="00880F5F">
        <w:rPr>
          <w:rFonts w:ascii="Arial" w:hAnsi="Arial" w:cs="Arial"/>
          <w:sz w:val="24"/>
          <w:szCs w:val="24"/>
        </w:rPr>
        <w:t xml:space="preserve">de </w:t>
      </w:r>
      <w:r w:rsidR="00E43B41" w:rsidRPr="00880F5F">
        <w:rPr>
          <w:rFonts w:ascii="Arial" w:hAnsi="Arial" w:cs="Arial"/>
          <w:sz w:val="24"/>
          <w:szCs w:val="24"/>
        </w:rPr>
        <w:t xml:space="preserve">marzo </w:t>
      </w:r>
      <w:r w:rsidR="00687C81" w:rsidRPr="00880F5F">
        <w:rPr>
          <w:rFonts w:ascii="Arial" w:hAnsi="Arial" w:cs="Arial"/>
          <w:sz w:val="24"/>
          <w:szCs w:val="24"/>
        </w:rPr>
        <w:t>de dos mil veintidós</w:t>
      </w:r>
      <w:r w:rsidR="00687C81" w:rsidRPr="00880F5F">
        <w:rPr>
          <w:rStyle w:val="Refdenotaalpie"/>
          <w:rFonts w:ascii="Arial" w:hAnsi="Arial" w:cs="Arial"/>
          <w:sz w:val="24"/>
          <w:szCs w:val="24"/>
        </w:rPr>
        <w:footnoteReference w:id="1"/>
      </w:r>
      <w:r w:rsidR="00304EA0" w:rsidRPr="00880F5F">
        <w:rPr>
          <w:rFonts w:ascii="Arial" w:hAnsi="Arial" w:cs="Arial"/>
          <w:sz w:val="24"/>
          <w:szCs w:val="24"/>
        </w:rPr>
        <w:t xml:space="preserve">, </w:t>
      </w:r>
      <w:r w:rsidR="00180318" w:rsidRPr="00880F5F">
        <w:rPr>
          <w:rFonts w:ascii="Arial" w:hAnsi="Arial" w:cs="Arial"/>
          <w:sz w:val="24"/>
          <w:szCs w:val="24"/>
        </w:rPr>
        <w:t xml:space="preserve">dictado por la </w:t>
      </w:r>
      <w:r w:rsidR="0071196B" w:rsidRPr="00880F5F">
        <w:rPr>
          <w:rFonts w:ascii="Arial" w:hAnsi="Arial" w:cs="Arial"/>
          <w:sz w:val="24"/>
          <w:szCs w:val="24"/>
        </w:rPr>
        <w:t>Secretaría Ejecutiva</w:t>
      </w:r>
      <w:r w:rsidRPr="00880F5F">
        <w:rPr>
          <w:rFonts w:ascii="Arial" w:hAnsi="Arial" w:cs="Arial"/>
          <w:sz w:val="24"/>
          <w:szCs w:val="24"/>
        </w:rPr>
        <w:t xml:space="preserve"> del Instituto Electoral y de Participación Ciudadana del Estado de Jalisco</w:t>
      </w:r>
      <w:r w:rsidRPr="00880F5F">
        <w:rPr>
          <w:rStyle w:val="Refdenotaalpie"/>
          <w:rFonts w:ascii="Arial" w:hAnsi="Arial" w:cs="Arial"/>
          <w:sz w:val="24"/>
          <w:szCs w:val="24"/>
        </w:rPr>
        <w:footnoteReference w:id="2"/>
      </w:r>
      <w:r w:rsidRPr="00880F5F">
        <w:rPr>
          <w:rFonts w:ascii="Arial" w:hAnsi="Arial" w:cs="Arial"/>
          <w:sz w:val="24"/>
          <w:szCs w:val="24"/>
        </w:rPr>
        <w:t>.</w:t>
      </w:r>
    </w:p>
    <w:p w14:paraId="4678F88D" w14:textId="77777777" w:rsidR="00D42408" w:rsidRPr="00880F5F" w:rsidRDefault="00D42408" w:rsidP="000F3649">
      <w:pPr>
        <w:pStyle w:val="Sinespaciado"/>
        <w:spacing w:line="276" w:lineRule="auto"/>
        <w:jc w:val="both"/>
        <w:rPr>
          <w:rFonts w:ascii="Arial" w:eastAsiaTheme="minorEastAsia" w:hAnsi="Arial" w:cs="Arial"/>
          <w:sz w:val="24"/>
          <w:szCs w:val="24"/>
          <w:lang w:eastAsia="es-MX"/>
        </w:rPr>
      </w:pPr>
    </w:p>
    <w:p w14:paraId="29E403EE" w14:textId="77777777" w:rsidR="00E03D2E" w:rsidRPr="00880F5F" w:rsidRDefault="00E03D2E" w:rsidP="000F3649">
      <w:pPr>
        <w:pStyle w:val="Sinespaciado"/>
        <w:spacing w:line="276" w:lineRule="auto"/>
        <w:jc w:val="center"/>
        <w:rPr>
          <w:rFonts w:ascii="Arial" w:hAnsi="Arial" w:cs="Arial"/>
          <w:b/>
          <w:sz w:val="24"/>
          <w:szCs w:val="24"/>
          <w:lang w:val="es-ES_tradnl"/>
        </w:rPr>
      </w:pPr>
      <w:r w:rsidRPr="00880F5F">
        <w:rPr>
          <w:rFonts w:ascii="Arial" w:hAnsi="Arial" w:cs="Arial"/>
          <w:b/>
          <w:sz w:val="24"/>
          <w:szCs w:val="24"/>
          <w:lang w:val="es-ES_tradnl"/>
        </w:rPr>
        <w:t>A N T E C E D E N T E S</w:t>
      </w:r>
    </w:p>
    <w:p w14:paraId="2B77789C" w14:textId="77777777" w:rsidR="00440C21" w:rsidRPr="00880F5F" w:rsidRDefault="00440C21" w:rsidP="000F3649">
      <w:pPr>
        <w:pStyle w:val="Sinespaciado"/>
        <w:spacing w:line="276" w:lineRule="auto"/>
        <w:jc w:val="center"/>
        <w:rPr>
          <w:rFonts w:ascii="Arial" w:hAnsi="Arial" w:cs="Arial"/>
          <w:b/>
          <w:sz w:val="24"/>
          <w:szCs w:val="24"/>
          <w:lang w:val="es-ES_tradnl"/>
        </w:rPr>
      </w:pPr>
    </w:p>
    <w:p w14:paraId="215AC686" w14:textId="77777777" w:rsidR="006E3BC6" w:rsidRPr="00880F5F" w:rsidRDefault="006E3BC6" w:rsidP="000F3649">
      <w:pPr>
        <w:pBdr>
          <w:top w:val="nil"/>
          <w:left w:val="nil"/>
          <w:bottom w:val="nil"/>
          <w:right w:val="nil"/>
          <w:between w:val="nil"/>
        </w:pBdr>
        <w:spacing w:after="0"/>
        <w:jc w:val="both"/>
        <w:rPr>
          <w:rFonts w:ascii="Arial" w:hAnsi="Arial" w:cs="Arial"/>
          <w:sz w:val="24"/>
          <w:szCs w:val="24"/>
          <w:lang w:val="es-ES"/>
        </w:rPr>
      </w:pPr>
    </w:p>
    <w:p w14:paraId="327ED1F4" w14:textId="090AB63D" w:rsidR="006E3BC6" w:rsidRPr="00880F5F" w:rsidRDefault="006444CD" w:rsidP="000F3649">
      <w:pPr>
        <w:spacing w:after="0"/>
        <w:jc w:val="both"/>
        <w:rPr>
          <w:rFonts w:ascii="Arial" w:hAnsi="Arial" w:cs="Arial"/>
          <w:sz w:val="24"/>
          <w:szCs w:val="24"/>
          <w:lang w:val="es-ES" w:eastAsia="es-ES"/>
        </w:rPr>
      </w:pPr>
      <w:r w:rsidRPr="00880F5F">
        <w:rPr>
          <w:rFonts w:ascii="Arial" w:hAnsi="Arial" w:cs="Arial"/>
          <w:b/>
          <w:sz w:val="24"/>
          <w:szCs w:val="24"/>
          <w:lang w:val="es-ES" w:eastAsia="es-ES"/>
        </w:rPr>
        <w:t xml:space="preserve">1. </w:t>
      </w:r>
      <w:r w:rsidR="008F7D89" w:rsidRPr="00880F5F">
        <w:rPr>
          <w:rFonts w:ascii="Arial" w:hAnsi="Arial" w:cs="Arial"/>
          <w:b/>
          <w:sz w:val="24"/>
          <w:szCs w:val="24"/>
          <w:lang w:val="es-ES" w:eastAsia="es-ES"/>
        </w:rPr>
        <w:t xml:space="preserve">Presentación de solicitud de información. </w:t>
      </w:r>
      <w:r w:rsidR="00F32AB1" w:rsidRPr="00880F5F">
        <w:rPr>
          <w:rFonts w:ascii="Arial" w:hAnsi="Arial" w:cs="Arial"/>
          <w:sz w:val="24"/>
          <w:szCs w:val="24"/>
          <w:lang w:val="es-ES" w:eastAsia="es-ES"/>
        </w:rPr>
        <w:t>El once de marzo</w:t>
      </w:r>
      <w:r w:rsidR="003518E6" w:rsidRPr="00880F5F">
        <w:rPr>
          <w:rFonts w:ascii="Arial" w:hAnsi="Arial" w:cs="Arial"/>
          <w:sz w:val="24"/>
          <w:szCs w:val="24"/>
          <w:lang w:val="es-ES" w:eastAsia="es-ES"/>
        </w:rPr>
        <w:t xml:space="preserve">, se presentó ante Oficialía de Partes del Instituto Electoral, escrito </w:t>
      </w:r>
      <w:r w:rsidR="004A547C" w:rsidRPr="00880F5F">
        <w:rPr>
          <w:rFonts w:ascii="Arial" w:hAnsi="Arial" w:cs="Arial"/>
          <w:sz w:val="24"/>
          <w:szCs w:val="24"/>
          <w:lang w:val="es-ES" w:eastAsia="es-ES"/>
        </w:rPr>
        <w:t>firmado</w:t>
      </w:r>
      <w:r w:rsidR="003518E6" w:rsidRPr="00880F5F">
        <w:rPr>
          <w:rFonts w:ascii="Arial" w:hAnsi="Arial" w:cs="Arial"/>
          <w:sz w:val="24"/>
          <w:szCs w:val="24"/>
          <w:lang w:val="es-ES" w:eastAsia="es-ES"/>
        </w:rPr>
        <w:t xml:space="preserve"> por el representante propietario del partido </w:t>
      </w:r>
      <w:r w:rsidR="00A9336C" w:rsidRPr="00880F5F">
        <w:rPr>
          <w:rFonts w:ascii="Arial" w:hAnsi="Arial" w:cs="Arial"/>
          <w:sz w:val="24"/>
          <w:szCs w:val="24"/>
          <w:lang w:val="es-ES" w:eastAsia="es-ES"/>
        </w:rPr>
        <w:t xml:space="preserve">político </w:t>
      </w:r>
      <w:r w:rsidR="003518E6" w:rsidRPr="00880F5F">
        <w:rPr>
          <w:rFonts w:ascii="Arial" w:hAnsi="Arial" w:cs="Arial"/>
          <w:sz w:val="24"/>
          <w:szCs w:val="24"/>
          <w:lang w:val="es-ES" w:eastAsia="es-ES"/>
        </w:rPr>
        <w:t>Morena, registrado bajo el folio 00341</w:t>
      </w:r>
      <w:r w:rsidR="00A6689D" w:rsidRPr="00880F5F">
        <w:rPr>
          <w:rFonts w:ascii="Arial" w:hAnsi="Arial" w:cs="Arial"/>
          <w:sz w:val="24"/>
          <w:szCs w:val="24"/>
          <w:lang w:val="es-ES" w:eastAsia="es-ES"/>
        </w:rPr>
        <w:t>, mediante el cual solicit</w:t>
      </w:r>
      <w:r w:rsidR="00A132F5" w:rsidRPr="00880F5F">
        <w:rPr>
          <w:rFonts w:ascii="Arial" w:hAnsi="Arial" w:cs="Arial"/>
          <w:sz w:val="24"/>
          <w:szCs w:val="24"/>
          <w:lang w:val="es-ES" w:eastAsia="es-ES"/>
        </w:rPr>
        <w:t>ó</w:t>
      </w:r>
      <w:r w:rsidR="00A6689D" w:rsidRPr="00880F5F">
        <w:rPr>
          <w:rFonts w:ascii="Arial" w:hAnsi="Arial" w:cs="Arial"/>
          <w:sz w:val="24"/>
          <w:szCs w:val="24"/>
          <w:lang w:val="es-ES" w:eastAsia="es-ES"/>
        </w:rPr>
        <w:t xml:space="preserve"> información en relación al ejercicio de difusión y promoción del </w:t>
      </w:r>
      <w:r w:rsidR="00A01345" w:rsidRPr="00880F5F">
        <w:rPr>
          <w:rFonts w:ascii="Arial" w:hAnsi="Arial" w:cs="Arial"/>
          <w:sz w:val="24"/>
          <w:szCs w:val="24"/>
          <w:lang w:val="es-ES" w:eastAsia="es-ES"/>
        </w:rPr>
        <w:t xml:space="preserve">mecanismo de participación ciudadana </w:t>
      </w:r>
      <w:r w:rsidR="00A6689D" w:rsidRPr="00880F5F">
        <w:rPr>
          <w:rFonts w:ascii="Arial" w:hAnsi="Arial" w:cs="Arial"/>
          <w:sz w:val="24"/>
          <w:szCs w:val="24"/>
          <w:lang w:val="es-ES" w:eastAsia="es-ES"/>
        </w:rPr>
        <w:t>de revocación de mandato.</w:t>
      </w:r>
    </w:p>
    <w:p w14:paraId="46495E39" w14:textId="77777777" w:rsidR="008F7D89" w:rsidRPr="00880F5F" w:rsidRDefault="008F7D89" w:rsidP="000F3649">
      <w:pPr>
        <w:spacing w:after="0"/>
        <w:jc w:val="both"/>
        <w:rPr>
          <w:rFonts w:ascii="Arial" w:hAnsi="Arial" w:cs="Arial"/>
          <w:sz w:val="24"/>
          <w:szCs w:val="24"/>
          <w:lang w:val="es-ES" w:eastAsia="es-ES"/>
        </w:rPr>
      </w:pPr>
    </w:p>
    <w:p w14:paraId="07B08FB8" w14:textId="0279C17C" w:rsidR="00A6689D" w:rsidRPr="00880F5F" w:rsidRDefault="007A4B01" w:rsidP="000F3649">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880F5F">
        <w:rPr>
          <w:rFonts w:ascii="Arial" w:hAnsi="Arial" w:cs="Arial"/>
          <w:b/>
          <w:sz w:val="24"/>
          <w:szCs w:val="24"/>
          <w:lang w:val="es-ES" w:eastAsia="es-ES"/>
        </w:rPr>
        <w:t xml:space="preserve">2. </w:t>
      </w:r>
      <w:r w:rsidR="008F7D89" w:rsidRPr="00880F5F">
        <w:rPr>
          <w:rFonts w:ascii="Arial" w:hAnsi="Arial" w:cs="Arial"/>
          <w:b/>
          <w:sz w:val="24"/>
          <w:szCs w:val="24"/>
          <w:lang w:val="es-ES" w:eastAsia="es-ES"/>
        </w:rPr>
        <w:t xml:space="preserve">Respuesta a la solicitud de información. </w:t>
      </w:r>
      <w:r w:rsidR="00A6689D" w:rsidRPr="00880F5F">
        <w:rPr>
          <w:rFonts w:ascii="Arial" w:hAnsi="Arial" w:cs="Arial"/>
          <w:sz w:val="24"/>
          <w:szCs w:val="24"/>
          <w:lang w:val="es-ES" w:eastAsia="es-ES"/>
        </w:rPr>
        <w:t>Mediante oficio 589/2022 signado por el Secretario Ejecutivo del Instituto Electoral, el veintidós de marzo,</w:t>
      </w:r>
      <w:r w:rsidR="003D3A9F" w:rsidRPr="00880F5F">
        <w:rPr>
          <w:rFonts w:ascii="Arial" w:hAnsi="Arial" w:cs="Arial"/>
          <w:sz w:val="24"/>
          <w:szCs w:val="24"/>
          <w:lang w:val="es-ES" w:eastAsia="es-ES"/>
        </w:rPr>
        <w:t xml:space="preserve"> </w:t>
      </w:r>
      <w:r w:rsidR="00A6689D" w:rsidRPr="00880F5F">
        <w:rPr>
          <w:rFonts w:ascii="Arial" w:hAnsi="Arial" w:cs="Arial"/>
          <w:sz w:val="24"/>
          <w:szCs w:val="24"/>
          <w:lang w:val="es-ES" w:eastAsia="es-ES"/>
        </w:rPr>
        <w:t>notificó al partido actor el acuerdo de dieciocho del referido mes.</w:t>
      </w:r>
    </w:p>
    <w:p w14:paraId="1B86459C" w14:textId="77777777" w:rsidR="00A6689D" w:rsidRPr="00880F5F" w:rsidRDefault="00C30CA9" w:rsidP="00C30CA9">
      <w:pPr>
        <w:pBdr>
          <w:top w:val="nil"/>
          <w:left w:val="nil"/>
          <w:bottom w:val="nil"/>
          <w:right w:val="nil"/>
          <w:between w:val="nil"/>
        </w:pBdr>
        <w:tabs>
          <w:tab w:val="left" w:pos="1853"/>
        </w:tabs>
        <w:spacing w:after="0"/>
        <w:jc w:val="both"/>
        <w:rPr>
          <w:rFonts w:ascii="Arial" w:hAnsi="Arial" w:cs="Arial"/>
          <w:sz w:val="24"/>
          <w:szCs w:val="24"/>
          <w:lang w:val="es-ES" w:eastAsia="es-ES"/>
        </w:rPr>
      </w:pPr>
      <w:r w:rsidRPr="00880F5F">
        <w:rPr>
          <w:rFonts w:ascii="Arial" w:hAnsi="Arial" w:cs="Arial"/>
          <w:sz w:val="24"/>
          <w:szCs w:val="24"/>
          <w:lang w:val="es-ES" w:eastAsia="es-ES"/>
        </w:rPr>
        <w:tab/>
      </w:r>
    </w:p>
    <w:p w14:paraId="09293B41" w14:textId="2B787AC4" w:rsidR="00A6689D" w:rsidRPr="00880F5F" w:rsidRDefault="00A6689D" w:rsidP="000F3649">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880F5F">
        <w:rPr>
          <w:rFonts w:ascii="Arial" w:hAnsi="Arial" w:cs="Arial"/>
          <w:b/>
          <w:sz w:val="24"/>
          <w:szCs w:val="24"/>
          <w:lang w:val="es-ES" w:eastAsia="es-ES"/>
        </w:rPr>
        <w:t>3. Presentación del medio de impugnación.</w:t>
      </w:r>
      <w:r w:rsidRPr="00880F5F">
        <w:rPr>
          <w:rFonts w:ascii="Arial" w:hAnsi="Arial" w:cs="Arial"/>
          <w:sz w:val="24"/>
          <w:szCs w:val="24"/>
          <w:lang w:val="es-ES" w:eastAsia="es-ES"/>
        </w:rPr>
        <w:t xml:space="preserve"> </w:t>
      </w:r>
      <w:r w:rsidR="00017C64" w:rsidRPr="00880F5F">
        <w:rPr>
          <w:rFonts w:ascii="Arial" w:hAnsi="Arial" w:cs="Arial"/>
          <w:sz w:val="24"/>
          <w:szCs w:val="24"/>
          <w:lang w:val="es-ES" w:eastAsia="es-ES"/>
        </w:rPr>
        <w:t>Inconforme con la respuesta</w:t>
      </w:r>
      <w:r w:rsidR="00CF4DF3" w:rsidRPr="00880F5F">
        <w:rPr>
          <w:rFonts w:ascii="Arial" w:hAnsi="Arial" w:cs="Arial"/>
          <w:sz w:val="24"/>
          <w:szCs w:val="24"/>
          <w:lang w:val="es-ES" w:eastAsia="es-ES"/>
        </w:rPr>
        <w:t>, el partido político Morena, por conducto de su representante propietario ante el Consejo General del Instituto Electoral, el treinta de marzo, presentó recurso de apelación ante el Tribunal Electoral del Estado de Jalisco</w:t>
      </w:r>
      <w:r w:rsidR="00D7655D" w:rsidRPr="00880F5F">
        <w:rPr>
          <w:rFonts w:ascii="Arial" w:hAnsi="Arial" w:cs="Arial"/>
          <w:sz w:val="24"/>
          <w:szCs w:val="24"/>
          <w:lang w:val="es-ES" w:eastAsia="es-ES"/>
        </w:rPr>
        <w:t>.</w:t>
      </w:r>
    </w:p>
    <w:p w14:paraId="0DD2EE54" w14:textId="77777777" w:rsidR="00CF4DF3" w:rsidRPr="00880F5F" w:rsidRDefault="00CF4DF3" w:rsidP="000F3649">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p>
    <w:p w14:paraId="700DCB74" w14:textId="3C6375C6" w:rsidR="00CF4DF3" w:rsidRPr="00880F5F" w:rsidRDefault="00CF4DF3" w:rsidP="000F3649">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880F5F">
        <w:rPr>
          <w:rFonts w:ascii="Arial" w:hAnsi="Arial" w:cs="Arial"/>
          <w:b/>
          <w:sz w:val="24"/>
          <w:szCs w:val="24"/>
          <w:lang w:val="es-ES" w:eastAsia="es-ES"/>
        </w:rPr>
        <w:lastRenderedPageBreak/>
        <w:t xml:space="preserve">4. </w:t>
      </w:r>
      <w:r w:rsidR="00C30CA9" w:rsidRPr="00880F5F">
        <w:rPr>
          <w:rFonts w:ascii="Arial" w:hAnsi="Arial" w:cs="Arial"/>
          <w:b/>
          <w:sz w:val="24"/>
          <w:szCs w:val="24"/>
          <w:lang w:val="es-ES" w:eastAsia="es-ES"/>
        </w:rPr>
        <w:t xml:space="preserve">Sentencia de rencauzamiento. </w:t>
      </w:r>
      <w:r w:rsidR="00C30CA9" w:rsidRPr="00880F5F">
        <w:rPr>
          <w:rFonts w:ascii="Arial" w:hAnsi="Arial" w:cs="Arial"/>
          <w:sz w:val="24"/>
          <w:szCs w:val="24"/>
          <w:lang w:val="es-ES" w:eastAsia="es-ES"/>
        </w:rPr>
        <w:t>Por resolución de veintisiete de abril,</w:t>
      </w:r>
      <w:r w:rsidR="00B62DFC" w:rsidRPr="00880F5F">
        <w:rPr>
          <w:rFonts w:ascii="Arial" w:hAnsi="Arial" w:cs="Arial"/>
          <w:sz w:val="24"/>
          <w:szCs w:val="24"/>
          <w:lang w:val="es-ES" w:eastAsia="es-ES"/>
        </w:rPr>
        <w:t xml:space="preserve"> dictada en el recurso de apelación RAP-008/2022,</w:t>
      </w:r>
      <w:r w:rsidR="00C30CA9" w:rsidRPr="00880F5F">
        <w:rPr>
          <w:rFonts w:ascii="Arial" w:hAnsi="Arial" w:cs="Arial"/>
          <w:sz w:val="24"/>
          <w:szCs w:val="24"/>
          <w:lang w:val="es-ES" w:eastAsia="es-ES"/>
        </w:rPr>
        <w:t xml:space="preserve"> el Tribunal Electoral del Estado de Jalisco, determinó lo siguiente: </w:t>
      </w:r>
    </w:p>
    <w:p w14:paraId="13F61AA7" w14:textId="77777777" w:rsidR="00C30CA9" w:rsidRPr="00880F5F" w:rsidRDefault="00C30CA9" w:rsidP="003A57BB">
      <w:pPr>
        <w:pBdr>
          <w:top w:val="nil"/>
          <w:left w:val="nil"/>
          <w:bottom w:val="nil"/>
          <w:right w:val="nil"/>
          <w:between w:val="nil"/>
        </w:pBdr>
        <w:tabs>
          <w:tab w:val="center" w:pos="4419"/>
          <w:tab w:val="right" w:pos="8505"/>
        </w:tabs>
        <w:spacing w:after="0"/>
        <w:ind w:left="567" w:right="503"/>
        <w:jc w:val="center"/>
        <w:rPr>
          <w:rFonts w:ascii="Arial" w:hAnsi="Arial" w:cs="Arial"/>
          <w:b/>
          <w:lang w:val="es-ES" w:eastAsia="es-ES"/>
        </w:rPr>
      </w:pPr>
      <w:r w:rsidRPr="00880F5F">
        <w:rPr>
          <w:rFonts w:ascii="Arial" w:hAnsi="Arial" w:cs="Arial"/>
          <w:b/>
          <w:lang w:val="es-ES" w:eastAsia="es-ES"/>
        </w:rPr>
        <w:t>RESOLUTIVOS</w:t>
      </w:r>
    </w:p>
    <w:p w14:paraId="63693A74" w14:textId="77777777" w:rsidR="00C30CA9" w:rsidRPr="00880F5F" w:rsidRDefault="00C30CA9" w:rsidP="003A57BB">
      <w:pPr>
        <w:pBdr>
          <w:top w:val="nil"/>
          <w:left w:val="nil"/>
          <w:bottom w:val="nil"/>
          <w:right w:val="nil"/>
          <w:between w:val="nil"/>
        </w:pBdr>
        <w:tabs>
          <w:tab w:val="center" w:pos="4419"/>
          <w:tab w:val="right" w:pos="8505"/>
        </w:tabs>
        <w:spacing w:after="0"/>
        <w:ind w:left="567" w:right="503"/>
        <w:jc w:val="both"/>
        <w:rPr>
          <w:rFonts w:ascii="Arial" w:hAnsi="Arial" w:cs="Arial"/>
          <w:lang w:val="es-ES" w:eastAsia="es-ES"/>
        </w:rPr>
      </w:pPr>
    </w:p>
    <w:p w14:paraId="56F46069" w14:textId="77777777" w:rsidR="00C30CA9" w:rsidRPr="00880F5F" w:rsidRDefault="00C30CA9" w:rsidP="003A57BB">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880F5F">
        <w:rPr>
          <w:rFonts w:ascii="Arial" w:hAnsi="Arial" w:cs="Arial"/>
          <w:b/>
          <w:lang w:val="es-ES" w:eastAsia="es-ES"/>
        </w:rPr>
        <w:t xml:space="preserve">PRIMERO. </w:t>
      </w:r>
      <w:r w:rsidRPr="00880F5F">
        <w:rPr>
          <w:rFonts w:ascii="Arial" w:hAnsi="Arial" w:cs="Arial"/>
          <w:lang w:val="es-ES" w:eastAsia="es-ES"/>
        </w:rPr>
        <w:t>La</w:t>
      </w:r>
      <w:r w:rsidRPr="00880F5F">
        <w:rPr>
          <w:rFonts w:ascii="Arial" w:hAnsi="Arial" w:cs="Arial"/>
          <w:b/>
          <w:lang w:val="es-ES" w:eastAsia="es-ES"/>
        </w:rPr>
        <w:t xml:space="preserve"> jurisdicción </w:t>
      </w:r>
      <w:r w:rsidRPr="00880F5F">
        <w:rPr>
          <w:rFonts w:ascii="Arial" w:hAnsi="Arial" w:cs="Arial"/>
          <w:lang w:val="es-ES" w:eastAsia="es-ES"/>
        </w:rPr>
        <w:t>y</w:t>
      </w:r>
      <w:r w:rsidRPr="00880F5F">
        <w:rPr>
          <w:rFonts w:ascii="Arial" w:hAnsi="Arial" w:cs="Arial"/>
          <w:b/>
          <w:lang w:val="es-ES" w:eastAsia="es-ES"/>
        </w:rPr>
        <w:t xml:space="preserve"> competencia </w:t>
      </w:r>
      <w:r w:rsidRPr="00880F5F">
        <w:rPr>
          <w:rFonts w:ascii="Arial" w:hAnsi="Arial" w:cs="Arial"/>
          <w:lang w:val="es-ES" w:eastAsia="es-ES"/>
        </w:rPr>
        <w:t>del…</w:t>
      </w:r>
    </w:p>
    <w:p w14:paraId="7823880A" w14:textId="77777777" w:rsidR="00C30CA9" w:rsidRPr="00880F5F" w:rsidRDefault="00C30CA9" w:rsidP="003A57BB">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0626D70E" w14:textId="77777777" w:rsidR="00C30CA9" w:rsidRPr="00880F5F" w:rsidRDefault="00C30CA9" w:rsidP="003A57BB">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880F5F">
        <w:rPr>
          <w:rFonts w:ascii="Arial" w:hAnsi="Arial" w:cs="Arial"/>
          <w:b/>
          <w:lang w:val="es-ES" w:eastAsia="es-ES"/>
        </w:rPr>
        <w:t>SEGUNDO.</w:t>
      </w:r>
      <w:r w:rsidRPr="00880F5F">
        <w:rPr>
          <w:rFonts w:ascii="Arial" w:hAnsi="Arial" w:cs="Arial"/>
          <w:lang w:val="es-ES" w:eastAsia="es-ES"/>
        </w:rPr>
        <w:t xml:space="preserve"> Es </w:t>
      </w:r>
      <w:r w:rsidRPr="00880F5F">
        <w:rPr>
          <w:rFonts w:ascii="Arial" w:hAnsi="Arial" w:cs="Arial"/>
          <w:b/>
          <w:lang w:val="es-ES" w:eastAsia="es-ES"/>
        </w:rPr>
        <w:t>improcedente</w:t>
      </w:r>
      <w:r w:rsidRPr="00880F5F">
        <w:rPr>
          <w:rFonts w:ascii="Arial" w:hAnsi="Arial" w:cs="Arial"/>
          <w:lang w:val="es-ES" w:eastAsia="es-ES"/>
        </w:rPr>
        <w:t xml:space="preserve"> el recurso de apelación, en</w:t>
      </w:r>
      <w:r w:rsidR="003A57BB" w:rsidRPr="00880F5F">
        <w:rPr>
          <w:rFonts w:ascii="Arial" w:hAnsi="Arial" w:cs="Arial"/>
          <w:lang w:val="es-ES" w:eastAsia="es-ES"/>
        </w:rPr>
        <w:t xml:space="preserve"> l</w:t>
      </w:r>
      <w:r w:rsidRPr="00880F5F">
        <w:rPr>
          <w:rFonts w:ascii="Arial" w:hAnsi="Arial" w:cs="Arial"/>
          <w:lang w:val="es-ES" w:eastAsia="es-ES"/>
        </w:rPr>
        <w:t>os términos precisados en esta sentencia.</w:t>
      </w:r>
    </w:p>
    <w:p w14:paraId="1B14EB76" w14:textId="77777777" w:rsidR="00C30CA9" w:rsidRPr="00880F5F" w:rsidRDefault="00C30CA9" w:rsidP="003A57BB">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0C99CA43" w14:textId="77777777" w:rsidR="003A57BB" w:rsidRPr="00880F5F" w:rsidRDefault="00C30CA9" w:rsidP="003A57BB">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880F5F">
        <w:rPr>
          <w:rFonts w:ascii="Arial" w:hAnsi="Arial" w:cs="Arial"/>
          <w:b/>
          <w:lang w:val="es-ES" w:eastAsia="es-ES"/>
        </w:rPr>
        <w:t>TERCERO.</w:t>
      </w:r>
      <w:r w:rsidRPr="00880F5F">
        <w:rPr>
          <w:rFonts w:ascii="Arial" w:hAnsi="Arial" w:cs="Arial"/>
          <w:lang w:val="es-ES" w:eastAsia="es-ES"/>
        </w:rPr>
        <w:t xml:space="preserve"> Se </w:t>
      </w:r>
      <w:r w:rsidRPr="00880F5F">
        <w:rPr>
          <w:rFonts w:ascii="Arial" w:hAnsi="Arial" w:cs="Arial"/>
          <w:b/>
          <w:lang w:val="es-ES" w:eastAsia="es-ES"/>
        </w:rPr>
        <w:t>reencauza</w:t>
      </w:r>
      <w:r w:rsidRPr="00880F5F">
        <w:rPr>
          <w:rFonts w:ascii="Arial" w:hAnsi="Arial" w:cs="Arial"/>
          <w:lang w:val="es-ES" w:eastAsia="es-ES"/>
        </w:rPr>
        <w:t xml:space="preserve"> el presente </w:t>
      </w:r>
      <w:r w:rsidR="003A57BB" w:rsidRPr="00880F5F">
        <w:rPr>
          <w:rFonts w:ascii="Arial" w:hAnsi="Arial" w:cs="Arial"/>
          <w:lang w:val="es-ES" w:eastAsia="es-ES"/>
        </w:rPr>
        <w:t>medio de impugnación a Recurso de Revisión previsto en el Código Electoral del Estado de Jalisco, para los efectos Precisados en esta resolución.</w:t>
      </w:r>
    </w:p>
    <w:p w14:paraId="02F12F41" w14:textId="77777777" w:rsidR="003A57BB" w:rsidRPr="00880F5F" w:rsidRDefault="003A57BB" w:rsidP="003A57BB">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79AE8BF4" w14:textId="77777777" w:rsidR="003A57BB" w:rsidRPr="00880F5F" w:rsidRDefault="003A57BB" w:rsidP="003A57BB">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880F5F">
        <w:rPr>
          <w:rFonts w:ascii="Arial" w:hAnsi="Arial" w:cs="Arial"/>
          <w:b/>
          <w:lang w:val="es-ES" w:eastAsia="es-ES"/>
        </w:rPr>
        <w:t>CUARTO.</w:t>
      </w:r>
      <w:r w:rsidRPr="00880F5F">
        <w:rPr>
          <w:rFonts w:ascii="Arial" w:hAnsi="Arial" w:cs="Arial"/>
          <w:lang w:val="es-ES" w:eastAsia="es-ES"/>
        </w:rPr>
        <w:t xml:space="preserve"> Se </w:t>
      </w:r>
      <w:r w:rsidRPr="00880F5F">
        <w:rPr>
          <w:rFonts w:ascii="Arial" w:hAnsi="Arial" w:cs="Arial"/>
          <w:b/>
          <w:lang w:val="es-ES" w:eastAsia="es-ES"/>
        </w:rPr>
        <w:t>instruye</w:t>
      </w:r>
      <w:r w:rsidRPr="00880F5F">
        <w:rPr>
          <w:rFonts w:ascii="Arial" w:hAnsi="Arial" w:cs="Arial"/>
          <w:lang w:val="es-ES" w:eastAsia="es-ES"/>
        </w:rPr>
        <w:t xml:space="preserve"> a la Secretaria General de Acuerdos de este Tribunal Electoral, realice los trámites Necesarios para el debido cumplimiento de la presente resolución.</w:t>
      </w:r>
    </w:p>
    <w:p w14:paraId="383C0A74" w14:textId="77777777" w:rsidR="00A6689D" w:rsidRPr="00880F5F" w:rsidRDefault="00A6689D" w:rsidP="000F3649">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p>
    <w:p w14:paraId="7269C374" w14:textId="77777777" w:rsidR="003A57BB" w:rsidRPr="00880F5F" w:rsidRDefault="003A57BB" w:rsidP="000F3649">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880F5F">
        <w:rPr>
          <w:rFonts w:ascii="Arial" w:hAnsi="Arial" w:cs="Arial"/>
          <w:b/>
          <w:sz w:val="24"/>
          <w:szCs w:val="24"/>
          <w:lang w:val="es-ES" w:eastAsia="es-ES"/>
        </w:rPr>
        <w:t xml:space="preserve">5. Notificación de la sentencia del Tribunal Electoral del Estado de Jalisco. </w:t>
      </w:r>
      <w:r w:rsidRPr="00880F5F">
        <w:rPr>
          <w:rFonts w:ascii="Arial" w:hAnsi="Arial" w:cs="Arial"/>
          <w:sz w:val="24"/>
          <w:szCs w:val="24"/>
          <w:lang w:val="es-ES" w:eastAsia="es-ES"/>
        </w:rPr>
        <w:t>Por oficio ACT/144/2022, suscrito por la Actuario del referido tribunal de seis de julio, reg</w:t>
      </w:r>
      <w:r w:rsidR="000D182A" w:rsidRPr="00880F5F">
        <w:rPr>
          <w:rFonts w:ascii="Arial" w:hAnsi="Arial" w:cs="Arial"/>
          <w:sz w:val="24"/>
          <w:szCs w:val="24"/>
          <w:lang w:val="es-ES" w:eastAsia="es-ES"/>
        </w:rPr>
        <w:t xml:space="preserve">istrado con el folio 00873, fue remitida la demanda y sus anexos, así como copia certificada de la resolución citada en párrafos precedentes. </w:t>
      </w:r>
    </w:p>
    <w:p w14:paraId="5E7C25A3" w14:textId="77777777" w:rsidR="003A57BB" w:rsidRPr="00880F5F" w:rsidRDefault="003A57BB" w:rsidP="000F3649">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p>
    <w:p w14:paraId="5BBCB8A7" w14:textId="77777777" w:rsidR="0009603E" w:rsidRPr="00880F5F" w:rsidRDefault="006743BC" w:rsidP="000F5046">
      <w:pPr>
        <w:pStyle w:val="Sinespaciado"/>
        <w:spacing w:line="276" w:lineRule="auto"/>
        <w:jc w:val="both"/>
        <w:rPr>
          <w:rFonts w:ascii="Arial" w:hAnsi="Arial" w:cs="Arial"/>
          <w:b/>
          <w:sz w:val="24"/>
          <w:szCs w:val="24"/>
        </w:rPr>
      </w:pPr>
      <w:r w:rsidRPr="00880F5F">
        <w:rPr>
          <w:rFonts w:ascii="Arial" w:hAnsi="Arial" w:cs="Arial"/>
          <w:b/>
          <w:sz w:val="24"/>
          <w:szCs w:val="24"/>
          <w:lang w:val="es-ES_tradnl"/>
        </w:rPr>
        <w:t xml:space="preserve">6. </w:t>
      </w:r>
      <w:r w:rsidR="00F52854" w:rsidRPr="00880F5F">
        <w:rPr>
          <w:rFonts w:ascii="Arial" w:hAnsi="Arial" w:cs="Arial"/>
          <w:b/>
          <w:sz w:val="24"/>
          <w:szCs w:val="24"/>
        </w:rPr>
        <w:t xml:space="preserve">Acuerdo </w:t>
      </w:r>
      <w:r w:rsidRPr="00880F5F">
        <w:rPr>
          <w:rFonts w:ascii="Arial" w:hAnsi="Arial" w:cs="Arial"/>
          <w:b/>
          <w:sz w:val="24"/>
          <w:szCs w:val="24"/>
        </w:rPr>
        <w:t>tiene por recibido y se reservan actuacione</w:t>
      </w:r>
      <w:r w:rsidR="00C30339" w:rsidRPr="00880F5F">
        <w:rPr>
          <w:rFonts w:ascii="Arial" w:hAnsi="Arial" w:cs="Arial"/>
          <w:b/>
          <w:sz w:val="24"/>
          <w:szCs w:val="24"/>
        </w:rPr>
        <w:t>s</w:t>
      </w:r>
      <w:r w:rsidRPr="00880F5F">
        <w:rPr>
          <w:rFonts w:ascii="Arial" w:hAnsi="Arial" w:cs="Arial"/>
          <w:b/>
          <w:sz w:val="24"/>
          <w:szCs w:val="24"/>
        </w:rPr>
        <w:t xml:space="preserve">. </w:t>
      </w:r>
      <w:r w:rsidR="001A550F" w:rsidRPr="00880F5F">
        <w:rPr>
          <w:rFonts w:ascii="Arial" w:hAnsi="Arial" w:cs="Arial"/>
          <w:sz w:val="24"/>
          <w:szCs w:val="24"/>
        </w:rPr>
        <w:t xml:space="preserve">Por acuerdo </w:t>
      </w:r>
      <w:r w:rsidR="004C4B5F" w:rsidRPr="00880F5F">
        <w:rPr>
          <w:rFonts w:ascii="Arial" w:hAnsi="Arial" w:cs="Arial"/>
          <w:sz w:val="24"/>
          <w:szCs w:val="24"/>
        </w:rPr>
        <w:t xml:space="preserve">de </w:t>
      </w:r>
      <w:r w:rsidR="00C01BED" w:rsidRPr="00880F5F">
        <w:rPr>
          <w:rFonts w:ascii="Arial" w:hAnsi="Arial" w:cs="Arial"/>
          <w:sz w:val="24"/>
          <w:szCs w:val="24"/>
        </w:rPr>
        <w:t xml:space="preserve">once de </w:t>
      </w:r>
      <w:r w:rsidRPr="00880F5F">
        <w:rPr>
          <w:rFonts w:ascii="Arial" w:hAnsi="Arial" w:cs="Arial"/>
          <w:sz w:val="24"/>
          <w:szCs w:val="24"/>
        </w:rPr>
        <w:t>a</w:t>
      </w:r>
      <w:r w:rsidR="00F8601A" w:rsidRPr="00880F5F">
        <w:rPr>
          <w:rFonts w:ascii="Arial" w:hAnsi="Arial" w:cs="Arial"/>
          <w:sz w:val="24"/>
          <w:szCs w:val="24"/>
        </w:rPr>
        <w:t>g</w:t>
      </w:r>
      <w:r w:rsidRPr="00880F5F">
        <w:rPr>
          <w:rFonts w:ascii="Arial" w:hAnsi="Arial" w:cs="Arial"/>
          <w:sz w:val="24"/>
          <w:szCs w:val="24"/>
        </w:rPr>
        <w:t>osto</w:t>
      </w:r>
      <w:r w:rsidR="008F7A13" w:rsidRPr="00880F5F">
        <w:rPr>
          <w:rFonts w:ascii="Arial" w:hAnsi="Arial" w:cs="Arial"/>
          <w:sz w:val="24"/>
          <w:szCs w:val="24"/>
        </w:rPr>
        <w:t xml:space="preserve">, entre otros se </w:t>
      </w:r>
      <w:r w:rsidRPr="00880F5F">
        <w:rPr>
          <w:rFonts w:ascii="Arial" w:hAnsi="Arial" w:cs="Arial"/>
          <w:sz w:val="24"/>
          <w:szCs w:val="24"/>
        </w:rPr>
        <w:t xml:space="preserve">tuvo por recibido </w:t>
      </w:r>
      <w:r w:rsidR="008F7A13" w:rsidRPr="00880F5F">
        <w:rPr>
          <w:rFonts w:ascii="Arial" w:hAnsi="Arial" w:cs="Arial"/>
          <w:sz w:val="24"/>
          <w:szCs w:val="24"/>
        </w:rPr>
        <w:t>el presente recurso de revisión</w:t>
      </w:r>
      <w:r w:rsidRPr="00880F5F">
        <w:rPr>
          <w:rFonts w:ascii="Arial" w:hAnsi="Arial" w:cs="Arial"/>
          <w:sz w:val="24"/>
          <w:szCs w:val="24"/>
        </w:rPr>
        <w:t xml:space="preserve"> y se </w:t>
      </w:r>
      <w:r w:rsidR="00A67205" w:rsidRPr="00880F5F">
        <w:rPr>
          <w:rFonts w:ascii="Arial" w:hAnsi="Arial" w:cs="Arial"/>
          <w:bCs/>
          <w:sz w:val="24"/>
          <w:szCs w:val="24"/>
        </w:rPr>
        <w:t xml:space="preserve">reservaron actuaciones para que el Consejo General </w:t>
      </w:r>
      <w:r w:rsidR="00F52854" w:rsidRPr="00880F5F">
        <w:rPr>
          <w:rFonts w:ascii="Arial" w:hAnsi="Arial" w:cs="Arial"/>
          <w:bCs/>
          <w:sz w:val="24"/>
          <w:szCs w:val="24"/>
        </w:rPr>
        <w:t xml:space="preserve">del Instituto Electoral </w:t>
      </w:r>
      <w:r w:rsidR="00A67205" w:rsidRPr="00880F5F">
        <w:rPr>
          <w:rFonts w:ascii="Arial" w:hAnsi="Arial" w:cs="Arial"/>
          <w:bCs/>
          <w:sz w:val="24"/>
          <w:szCs w:val="24"/>
        </w:rPr>
        <w:t>resuelva lo conducente.</w:t>
      </w:r>
    </w:p>
    <w:p w14:paraId="3B88B4FE" w14:textId="77777777" w:rsidR="00711BB9" w:rsidRPr="00880F5F" w:rsidRDefault="00711BB9" w:rsidP="000F5046">
      <w:pPr>
        <w:pStyle w:val="Sinespaciado"/>
        <w:spacing w:line="276" w:lineRule="auto"/>
        <w:jc w:val="both"/>
        <w:rPr>
          <w:rFonts w:ascii="Arial" w:hAnsi="Arial" w:cs="Arial"/>
          <w:sz w:val="24"/>
          <w:szCs w:val="24"/>
          <w:lang w:val="es-ES"/>
        </w:rPr>
      </w:pPr>
    </w:p>
    <w:p w14:paraId="06944593" w14:textId="77777777" w:rsidR="00E03D2E" w:rsidRPr="00880F5F" w:rsidRDefault="00E03D2E" w:rsidP="000F5046">
      <w:pPr>
        <w:pStyle w:val="Sinespaciado"/>
        <w:spacing w:line="276" w:lineRule="auto"/>
        <w:jc w:val="center"/>
        <w:rPr>
          <w:rFonts w:ascii="Arial" w:hAnsi="Arial" w:cs="Arial"/>
          <w:b/>
          <w:sz w:val="24"/>
          <w:szCs w:val="24"/>
        </w:rPr>
      </w:pPr>
      <w:r w:rsidRPr="00880F5F">
        <w:rPr>
          <w:rFonts w:ascii="Arial" w:hAnsi="Arial" w:cs="Arial"/>
          <w:b/>
          <w:sz w:val="24"/>
          <w:szCs w:val="24"/>
        </w:rPr>
        <w:t>C O N S I D E R A C I O N E S</w:t>
      </w:r>
    </w:p>
    <w:p w14:paraId="013DCEF4" w14:textId="77777777" w:rsidR="00E03D2E" w:rsidRPr="00880F5F" w:rsidRDefault="00E03D2E" w:rsidP="000F5046">
      <w:pPr>
        <w:pStyle w:val="Sinespaciado"/>
        <w:spacing w:line="276" w:lineRule="auto"/>
        <w:jc w:val="both"/>
        <w:rPr>
          <w:rFonts w:ascii="Arial" w:hAnsi="Arial" w:cs="Arial"/>
          <w:sz w:val="24"/>
          <w:szCs w:val="24"/>
        </w:rPr>
      </w:pPr>
    </w:p>
    <w:p w14:paraId="3B39231C" w14:textId="77777777" w:rsidR="00E03D2E" w:rsidRPr="00880F5F" w:rsidRDefault="00920B1F" w:rsidP="000F5046">
      <w:pPr>
        <w:pStyle w:val="Sinespaciado"/>
        <w:spacing w:line="276" w:lineRule="auto"/>
        <w:jc w:val="both"/>
        <w:rPr>
          <w:rFonts w:ascii="Arial" w:eastAsiaTheme="minorEastAsia" w:hAnsi="Arial" w:cs="Arial"/>
          <w:sz w:val="24"/>
          <w:szCs w:val="24"/>
          <w:lang w:eastAsia="es-MX"/>
        </w:rPr>
      </w:pPr>
      <w:r w:rsidRPr="00880F5F">
        <w:rPr>
          <w:rFonts w:ascii="Arial" w:eastAsiaTheme="minorEastAsia" w:hAnsi="Arial" w:cs="Arial"/>
          <w:b/>
          <w:sz w:val="24"/>
          <w:szCs w:val="24"/>
          <w:lang w:eastAsia="es-MX"/>
        </w:rPr>
        <w:t>I</w:t>
      </w:r>
      <w:r w:rsidR="00E03D2E" w:rsidRPr="00880F5F">
        <w:rPr>
          <w:rFonts w:ascii="Arial" w:eastAsiaTheme="minorEastAsia" w:hAnsi="Arial" w:cs="Arial"/>
          <w:b/>
          <w:sz w:val="24"/>
          <w:szCs w:val="24"/>
          <w:lang w:eastAsia="es-MX"/>
        </w:rPr>
        <w:t>. COMPETENCIA.</w:t>
      </w:r>
      <w:r w:rsidR="00814FEE" w:rsidRPr="00880F5F">
        <w:rPr>
          <w:rFonts w:ascii="Arial" w:eastAsiaTheme="minorEastAsia" w:hAnsi="Arial" w:cs="Arial"/>
          <w:sz w:val="24"/>
          <w:szCs w:val="24"/>
          <w:lang w:eastAsia="es-MX"/>
        </w:rPr>
        <w:t xml:space="preserve"> El Consejo General del I</w:t>
      </w:r>
      <w:r w:rsidR="00E03D2E" w:rsidRPr="00880F5F">
        <w:rPr>
          <w:rFonts w:ascii="Arial" w:eastAsiaTheme="minorEastAsia" w:hAnsi="Arial" w:cs="Arial"/>
          <w:sz w:val="24"/>
          <w:szCs w:val="24"/>
          <w:lang w:eastAsia="es-MX"/>
        </w:rPr>
        <w:t xml:space="preserve">nstituto </w:t>
      </w:r>
      <w:r w:rsidR="00814FEE" w:rsidRPr="00880F5F">
        <w:rPr>
          <w:rFonts w:ascii="Arial" w:eastAsiaTheme="minorEastAsia" w:hAnsi="Arial" w:cs="Arial"/>
          <w:sz w:val="24"/>
          <w:szCs w:val="24"/>
          <w:lang w:eastAsia="es-MX"/>
        </w:rPr>
        <w:t xml:space="preserve">Electoral </w:t>
      </w:r>
      <w:r w:rsidR="00E03D2E" w:rsidRPr="00880F5F">
        <w:rPr>
          <w:rFonts w:ascii="Arial" w:eastAsiaTheme="minorEastAsia" w:hAnsi="Arial" w:cs="Arial"/>
          <w:sz w:val="24"/>
          <w:szCs w:val="24"/>
          <w:lang w:eastAsia="es-MX"/>
        </w:rPr>
        <w:t xml:space="preserve">es competente para conocer y resolver el presente recurso, </w:t>
      </w:r>
      <w:r w:rsidR="006073FD" w:rsidRPr="00880F5F">
        <w:rPr>
          <w:rFonts w:ascii="Arial" w:eastAsiaTheme="minorEastAsia" w:hAnsi="Arial" w:cs="Arial"/>
          <w:sz w:val="24"/>
          <w:szCs w:val="24"/>
          <w:lang w:eastAsia="es-MX"/>
        </w:rPr>
        <w:t xml:space="preserve">ello en razón de que se </w:t>
      </w:r>
      <w:r w:rsidR="00E03D2E" w:rsidRPr="00880F5F">
        <w:rPr>
          <w:rFonts w:ascii="Arial" w:eastAsiaTheme="minorEastAsia" w:hAnsi="Arial" w:cs="Arial"/>
          <w:sz w:val="24"/>
          <w:szCs w:val="24"/>
          <w:lang w:eastAsia="es-MX"/>
        </w:rPr>
        <w:t>controvierte</w:t>
      </w:r>
      <w:r w:rsidR="00BD5E56" w:rsidRPr="00880F5F">
        <w:rPr>
          <w:rFonts w:ascii="Arial" w:eastAsiaTheme="minorEastAsia" w:hAnsi="Arial" w:cs="Arial"/>
          <w:sz w:val="24"/>
          <w:szCs w:val="24"/>
          <w:lang w:eastAsia="es-MX"/>
        </w:rPr>
        <w:t xml:space="preserve"> </w:t>
      </w:r>
      <w:r w:rsidR="009847FB" w:rsidRPr="00880F5F">
        <w:rPr>
          <w:rFonts w:ascii="Arial" w:eastAsiaTheme="minorEastAsia" w:hAnsi="Arial" w:cs="Arial"/>
          <w:sz w:val="24"/>
          <w:szCs w:val="24"/>
          <w:lang w:eastAsia="es-MX"/>
        </w:rPr>
        <w:t xml:space="preserve">un </w:t>
      </w:r>
      <w:r w:rsidR="00BD5E56" w:rsidRPr="00880F5F">
        <w:rPr>
          <w:rFonts w:ascii="Arial" w:eastAsiaTheme="minorEastAsia" w:hAnsi="Arial" w:cs="Arial"/>
          <w:sz w:val="24"/>
          <w:szCs w:val="24"/>
          <w:lang w:eastAsia="es-MX"/>
        </w:rPr>
        <w:lastRenderedPageBreak/>
        <w:t xml:space="preserve">acuerdo administrativo </w:t>
      </w:r>
      <w:r w:rsidR="008A73E0" w:rsidRPr="00880F5F">
        <w:rPr>
          <w:rFonts w:ascii="Arial" w:eastAsiaTheme="minorEastAsia" w:hAnsi="Arial" w:cs="Arial"/>
          <w:sz w:val="24"/>
          <w:szCs w:val="24"/>
          <w:lang w:eastAsia="es-MX"/>
        </w:rPr>
        <w:t xml:space="preserve">emitido por la Secretaría Ejecutiva de este </w:t>
      </w:r>
      <w:r w:rsidR="007F6B74" w:rsidRPr="00880F5F">
        <w:rPr>
          <w:rFonts w:ascii="Arial" w:eastAsiaTheme="minorEastAsia" w:hAnsi="Arial" w:cs="Arial"/>
          <w:sz w:val="24"/>
          <w:szCs w:val="24"/>
          <w:lang w:eastAsia="es-MX"/>
        </w:rPr>
        <w:t>organismo electoral</w:t>
      </w:r>
      <w:r w:rsidR="006073FD" w:rsidRPr="00880F5F">
        <w:rPr>
          <w:rStyle w:val="Refdenotaalpie"/>
          <w:rFonts w:ascii="Arial" w:eastAsiaTheme="minorEastAsia" w:hAnsi="Arial" w:cs="Arial"/>
          <w:sz w:val="24"/>
          <w:szCs w:val="24"/>
          <w:lang w:eastAsia="es-MX"/>
        </w:rPr>
        <w:footnoteReference w:id="3"/>
      </w:r>
      <w:r w:rsidR="006073FD" w:rsidRPr="00880F5F">
        <w:rPr>
          <w:rFonts w:ascii="Arial" w:eastAsiaTheme="minorEastAsia" w:hAnsi="Arial" w:cs="Arial"/>
          <w:sz w:val="24"/>
          <w:szCs w:val="24"/>
          <w:lang w:eastAsia="es-MX"/>
        </w:rPr>
        <w:t xml:space="preserve">. </w:t>
      </w:r>
    </w:p>
    <w:p w14:paraId="1A04B30E" w14:textId="77777777" w:rsidR="00BD5E56" w:rsidRPr="00880F5F" w:rsidRDefault="00BD5E56" w:rsidP="000F5046">
      <w:pPr>
        <w:pStyle w:val="Sinespaciado"/>
        <w:spacing w:line="276" w:lineRule="auto"/>
        <w:jc w:val="both"/>
        <w:rPr>
          <w:rFonts w:ascii="Arial" w:eastAsiaTheme="minorEastAsia" w:hAnsi="Arial" w:cs="Arial"/>
          <w:sz w:val="24"/>
          <w:szCs w:val="24"/>
          <w:lang w:eastAsia="es-MX"/>
        </w:rPr>
      </w:pPr>
    </w:p>
    <w:p w14:paraId="4155E2C6" w14:textId="45C5B20D" w:rsidR="00F81C60" w:rsidRPr="00880F5F" w:rsidRDefault="000F3649" w:rsidP="000F5046">
      <w:pPr>
        <w:widowControl w:val="0"/>
        <w:tabs>
          <w:tab w:val="left" w:pos="-720"/>
        </w:tabs>
        <w:suppressAutoHyphens/>
        <w:spacing w:after="0"/>
        <w:jc w:val="both"/>
        <w:rPr>
          <w:rFonts w:ascii="Arial" w:eastAsia="Times New Roman" w:hAnsi="Arial" w:cs="Arial"/>
          <w:bCs/>
          <w:sz w:val="24"/>
          <w:szCs w:val="24"/>
          <w:lang w:eastAsia="es-ES"/>
        </w:rPr>
      </w:pPr>
      <w:r w:rsidRPr="00880F5F">
        <w:rPr>
          <w:rFonts w:ascii="Arial" w:hAnsi="Arial" w:cs="Arial"/>
          <w:b/>
          <w:snapToGrid w:val="0"/>
          <w:sz w:val="24"/>
          <w:szCs w:val="24"/>
          <w:lang w:eastAsia="es-ES"/>
        </w:rPr>
        <w:t xml:space="preserve">II. CAUSALES DE IMPROCEDENCIA. </w:t>
      </w:r>
      <w:r w:rsidR="00F81C60" w:rsidRPr="00880F5F">
        <w:rPr>
          <w:rFonts w:ascii="Arial" w:eastAsia="Times New Roman" w:hAnsi="Arial" w:cs="Arial"/>
          <w:bCs/>
          <w:sz w:val="24"/>
          <w:szCs w:val="24"/>
          <w:lang w:eastAsia="es-ES"/>
        </w:rPr>
        <w:t>Determinada la competencia de este órgano electoral en el presente recurso, se considera oportuno analizar las causales de desechamiento e improcedencia que pudieran actualizarse, por ser de examen preferente y orden público</w:t>
      </w:r>
      <w:r w:rsidR="00DC4171" w:rsidRPr="00880F5F">
        <w:rPr>
          <w:rFonts w:ascii="Arial" w:eastAsia="Times New Roman" w:hAnsi="Arial" w:cs="Arial"/>
          <w:bCs/>
          <w:sz w:val="24"/>
          <w:szCs w:val="24"/>
          <w:lang w:eastAsia="es-ES"/>
        </w:rPr>
        <w:t>.</w:t>
      </w:r>
      <w:r w:rsidR="00F81C60" w:rsidRPr="00880F5F">
        <w:rPr>
          <w:rFonts w:ascii="Arial" w:eastAsia="Times New Roman" w:hAnsi="Arial" w:cs="Arial"/>
          <w:bCs/>
          <w:sz w:val="24"/>
          <w:szCs w:val="24"/>
          <w:lang w:eastAsia="es-ES"/>
        </w:rPr>
        <w:t xml:space="preserve"> </w:t>
      </w:r>
    </w:p>
    <w:p w14:paraId="16E992BC" w14:textId="77777777" w:rsidR="00F81C60" w:rsidRPr="00880F5F" w:rsidRDefault="00F81C60" w:rsidP="000F5046">
      <w:pPr>
        <w:spacing w:after="0"/>
        <w:jc w:val="both"/>
        <w:outlineLvl w:val="1"/>
        <w:rPr>
          <w:rFonts w:ascii="Arial" w:eastAsia="Times New Roman" w:hAnsi="Arial" w:cs="Arial"/>
          <w:bCs/>
          <w:sz w:val="24"/>
          <w:szCs w:val="24"/>
          <w:lang w:eastAsia="es-ES"/>
        </w:rPr>
      </w:pPr>
    </w:p>
    <w:p w14:paraId="19AEF0BE" w14:textId="77777777" w:rsidR="00F81C60" w:rsidRPr="00880F5F" w:rsidRDefault="00F81C60" w:rsidP="000F5046">
      <w:pPr>
        <w:spacing w:after="0"/>
        <w:jc w:val="both"/>
        <w:outlineLvl w:val="1"/>
        <w:rPr>
          <w:rFonts w:ascii="Arial" w:eastAsia="Times New Roman" w:hAnsi="Arial" w:cs="Arial"/>
          <w:bCs/>
          <w:sz w:val="24"/>
          <w:szCs w:val="24"/>
          <w:lang w:eastAsia="es-ES"/>
        </w:rPr>
      </w:pPr>
      <w:r w:rsidRPr="00880F5F">
        <w:rPr>
          <w:rFonts w:ascii="Arial" w:eastAsia="Times New Roman" w:hAnsi="Arial" w:cs="Arial"/>
          <w:bCs/>
          <w:sz w:val="24"/>
          <w:szCs w:val="24"/>
          <w:lang w:eastAsia="es-ES"/>
        </w:rPr>
        <w:t xml:space="preserve">En ese tenor, a juicio de este órgano colegiado, se estima que, procede </w:t>
      </w:r>
      <w:r w:rsidRPr="00880F5F">
        <w:rPr>
          <w:rFonts w:ascii="Arial" w:eastAsia="Times New Roman" w:hAnsi="Arial" w:cs="Arial"/>
          <w:b/>
          <w:bCs/>
          <w:sz w:val="24"/>
          <w:szCs w:val="24"/>
          <w:lang w:eastAsia="es-ES"/>
        </w:rPr>
        <w:t>desechar</w:t>
      </w:r>
      <w:r w:rsidRPr="00880F5F">
        <w:rPr>
          <w:rFonts w:ascii="Arial" w:eastAsia="Times New Roman" w:hAnsi="Arial" w:cs="Arial"/>
          <w:bCs/>
          <w:sz w:val="24"/>
          <w:szCs w:val="24"/>
          <w:lang w:eastAsia="es-ES"/>
        </w:rPr>
        <w:t xml:space="preserve"> el presente </w:t>
      </w:r>
      <w:r w:rsidR="00EC774D" w:rsidRPr="00880F5F">
        <w:rPr>
          <w:rFonts w:ascii="Arial" w:eastAsia="Times New Roman" w:hAnsi="Arial" w:cs="Arial"/>
          <w:bCs/>
          <w:sz w:val="24"/>
          <w:szCs w:val="24"/>
          <w:lang w:eastAsia="es-ES"/>
        </w:rPr>
        <w:t>recurso de revisión</w:t>
      </w:r>
      <w:r w:rsidRPr="00880F5F">
        <w:rPr>
          <w:rFonts w:ascii="Arial" w:eastAsia="Times New Roman" w:hAnsi="Arial" w:cs="Arial"/>
          <w:bCs/>
          <w:sz w:val="24"/>
          <w:szCs w:val="24"/>
          <w:lang w:eastAsia="es-ES"/>
        </w:rPr>
        <w:t xml:space="preserve">, por actualizarse la causal de desechamiento, prevista en el </w:t>
      </w:r>
      <w:r w:rsidRPr="00880F5F">
        <w:rPr>
          <w:rFonts w:ascii="Arial" w:eastAsia="Times New Roman" w:hAnsi="Arial" w:cs="Arial"/>
          <w:b/>
          <w:bCs/>
          <w:sz w:val="24"/>
          <w:szCs w:val="24"/>
          <w:lang w:eastAsia="es-ES"/>
        </w:rPr>
        <w:t>artículo 508, párrafo 1, fracción III, con relación al 509, párrafo 1, fracción IV del Código Electoral</w:t>
      </w:r>
      <w:r w:rsidRPr="00880F5F">
        <w:rPr>
          <w:rFonts w:ascii="Arial" w:eastAsia="Times New Roman" w:hAnsi="Arial" w:cs="Arial"/>
          <w:bCs/>
          <w:sz w:val="24"/>
          <w:szCs w:val="24"/>
          <w:lang w:eastAsia="es-ES"/>
        </w:rPr>
        <w:t xml:space="preserve">, ya que el </w:t>
      </w:r>
      <w:r w:rsidR="000F5046" w:rsidRPr="00880F5F">
        <w:rPr>
          <w:rFonts w:ascii="Arial" w:eastAsia="Times New Roman" w:hAnsi="Arial" w:cs="Arial"/>
          <w:bCs/>
          <w:sz w:val="24"/>
          <w:szCs w:val="24"/>
          <w:lang w:eastAsia="es-ES"/>
        </w:rPr>
        <w:t xml:space="preserve">recurso </w:t>
      </w:r>
      <w:r w:rsidRPr="00880F5F">
        <w:rPr>
          <w:rFonts w:ascii="Arial" w:eastAsia="Times New Roman" w:hAnsi="Arial" w:cs="Arial"/>
          <w:bCs/>
          <w:sz w:val="24"/>
          <w:szCs w:val="24"/>
          <w:lang w:eastAsia="es-ES"/>
        </w:rPr>
        <w:t>se presentó de forma extemporánea.</w:t>
      </w:r>
    </w:p>
    <w:p w14:paraId="67567692" w14:textId="77777777" w:rsidR="00F81C60" w:rsidRPr="00880F5F" w:rsidRDefault="00F81C60" w:rsidP="000F5046">
      <w:pPr>
        <w:spacing w:after="0"/>
        <w:jc w:val="both"/>
        <w:outlineLvl w:val="1"/>
        <w:rPr>
          <w:rFonts w:ascii="Arial" w:eastAsia="Times New Roman" w:hAnsi="Arial" w:cs="Arial"/>
          <w:bCs/>
          <w:sz w:val="24"/>
          <w:szCs w:val="24"/>
          <w:lang w:eastAsia="es-ES"/>
        </w:rPr>
      </w:pPr>
    </w:p>
    <w:p w14:paraId="7B0FBF2A" w14:textId="77777777" w:rsidR="00F81C60" w:rsidRPr="00880F5F" w:rsidRDefault="00F81C60" w:rsidP="000E5793">
      <w:pPr>
        <w:spacing w:after="0"/>
        <w:jc w:val="both"/>
        <w:outlineLvl w:val="1"/>
        <w:rPr>
          <w:rFonts w:ascii="Arial" w:eastAsia="Times New Roman" w:hAnsi="Arial" w:cs="Arial"/>
          <w:bCs/>
          <w:sz w:val="24"/>
          <w:szCs w:val="24"/>
          <w:lang w:eastAsia="es-ES"/>
        </w:rPr>
      </w:pPr>
      <w:r w:rsidRPr="00880F5F">
        <w:rPr>
          <w:rFonts w:ascii="Arial" w:eastAsia="Times New Roman" w:hAnsi="Arial" w:cs="Arial"/>
          <w:bCs/>
          <w:sz w:val="24"/>
          <w:szCs w:val="24"/>
          <w:lang w:eastAsia="es-ES"/>
        </w:rPr>
        <w:t xml:space="preserve">Esto es así, toda vez que, el primero de los artículos en mención establece que procede desechar un medio de impugnación cuando la notoria improcedencia derive de las disposiciones del código, y es el segundo numeral, el que señala que los medios de impugnación previstos en el ordenamiento legal invocado </w:t>
      </w:r>
      <w:r w:rsidRPr="00880F5F">
        <w:rPr>
          <w:rFonts w:ascii="Arial" w:eastAsia="Times New Roman" w:hAnsi="Arial" w:cs="Arial"/>
          <w:b/>
          <w:sz w:val="24"/>
          <w:szCs w:val="24"/>
          <w:lang w:eastAsia="es-ES"/>
        </w:rPr>
        <w:t>serán improcedentes</w:t>
      </w:r>
      <w:r w:rsidRPr="00880F5F">
        <w:rPr>
          <w:rFonts w:ascii="Arial" w:eastAsia="Times New Roman" w:hAnsi="Arial" w:cs="Arial"/>
          <w:bCs/>
          <w:sz w:val="24"/>
          <w:szCs w:val="24"/>
          <w:lang w:eastAsia="es-ES"/>
        </w:rPr>
        <w:t xml:space="preserve">, entre otros, </w:t>
      </w:r>
      <w:r w:rsidRPr="00880F5F">
        <w:rPr>
          <w:rFonts w:ascii="Arial" w:eastAsia="Times New Roman" w:hAnsi="Arial" w:cs="Arial"/>
          <w:b/>
          <w:sz w:val="24"/>
          <w:szCs w:val="24"/>
          <w:lang w:eastAsia="es-ES"/>
        </w:rPr>
        <w:t>cuando el acto o resolución se hayan consentido expresamente</w:t>
      </w:r>
      <w:r w:rsidRPr="00880F5F">
        <w:rPr>
          <w:rFonts w:ascii="Arial" w:eastAsia="Times New Roman" w:hAnsi="Arial" w:cs="Arial"/>
          <w:bCs/>
          <w:sz w:val="24"/>
          <w:szCs w:val="24"/>
          <w:lang w:eastAsia="es-ES"/>
        </w:rPr>
        <w:t xml:space="preserve"> entendiéndose por ello, las manifestaciones de voluntad que entrañen ese consentimiento o </w:t>
      </w:r>
      <w:r w:rsidRPr="00880F5F">
        <w:rPr>
          <w:rFonts w:ascii="Arial" w:eastAsia="Times New Roman" w:hAnsi="Arial" w:cs="Arial"/>
          <w:b/>
          <w:sz w:val="24"/>
          <w:szCs w:val="24"/>
          <w:lang w:eastAsia="es-ES"/>
        </w:rPr>
        <w:t>no se presenten los medios de impugnación dentro de los plazos señalados en el Código</w:t>
      </w:r>
      <w:r w:rsidRPr="00880F5F">
        <w:rPr>
          <w:rFonts w:ascii="Arial" w:eastAsia="Times New Roman" w:hAnsi="Arial" w:cs="Arial"/>
          <w:bCs/>
          <w:sz w:val="24"/>
          <w:szCs w:val="24"/>
          <w:lang w:eastAsia="es-ES"/>
        </w:rPr>
        <w:t xml:space="preserve">. </w:t>
      </w:r>
    </w:p>
    <w:p w14:paraId="26259F54" w14:textId="77777777" w:rsidR="00F81C60" w:rsidRPr="00880F5F" w:rsidRDefault="00F81C60" w:rsidP="000E5793">
      <w:pPr>
        <w:pStyle w:val="Prrafodelista"/>
        <w:spacing w:after="0"/>
        <w:ind w:left="0"/>
        <w:rPr>
          <w:rFonts w:ascii="Arial" w:eastAsia="Times New Roman" w:hAnsi="Arial" w:cs="Arial"/>
          <w:bCs/>
          <w:sz w:val="24"/>
          <w:szCs w:val="24"/>
        </w:rPr>
      </w:pPr>
    </w:p>
    <w:p w14:paraId="0C5E10BE" w14:textId="77777777" w:rsidR="00F81C60" w:rsidRPr="00880F5F" w:rsidRDefault="00F81C60" w:rsidP="000E5793">
      <w:pPr>
        <w:spacing w:after="0"/>
        <w:jc w:val="both"/>
        <w:rPr>
          <w:rFonts w:ascii="Arial" w:eastAsia="Times New Roman" w:hAnsi="Arial" w:cs="Arial"/>
          <w:bCs/>
          <w:sz w:val="24"/>
          <w:szCs w:val="24"/>
        </w:rPr>
      </w:pPr>
      <w:r w:rsidRPr="00880F5F">
        <w:rPr>
          <w:rFonts w:ascii="Arial" w:eastAsia="Times New Roman" w:hAnsi="Arial" w:cs="Arial"/>
          <w:bCs/>
          <w:sz w:val="24"/>
          <w:szCs w:val="24"/>
        </w:rPr>
        <w:t>En efecto en el asunto de mérito, la parte actora pretende impugnar actos qu</w:t>
      </w:r>
      <w:r w:rsidR="000F5046" w:rsidRPr="00880F5F">
        <w:rPr>
          <w:rFonts w:ascii="Arial" w:eastAsia="Times New Roman" w:hAnsi="Arial" w:cs="Arial"/>
          <w:bCs/>
          <w:sz w:val="24"/>
          <w:szCs w:val="24"/>
        </w:rPr>
        <w:t>e han</w:t>
      </w:r>
      <w:r w:rsidRPr="00880F5F">
        <w:rPr>
          <w:rFonts w:ascii="Arial" w:eastAsia="Times New Roman" w:hAnsi="Arial" w:cs="Arial"/>
          <w:bCs/>
          <w:sz w:val="24"/>
          <w:szCs w:val="24"/>
        </w:rPr>
        <w:t xml:space="preserve"> sido consentidos en virtud de no haber presentado medio de impugnación dentro de los plazos requeridos, de conformidad con los siguientes argumentos:</w:t>
      </w:r>
    </w:p>
    <w:p w14:paraId="0FB4F77B" w14:textId="77777777" w:rsidR="00F81C60" w:rsidRPr="00880F5F" w:rsidRDefault="00F81C60" w:rsidP="000E5793">
      <w:pPr>
        <w:spacing w:after="0"/>
        <w:jc w:val="both"/>
        <w:rPr>
          <w:rFonts w:ascii="Arial" w:eastAsia="Times New Roman" w:hAnsi="Arial" w:cs="Arial"/>
          <w:bCs/>
          <w:sz w:val="24"/>
          <w:szCs w:val="24"/>
        </w:rPr>
      </w:pPr>
    </w:p>
    <w:p w14:paraId="2C86F4D7" w14:textId="51084668" w:rsidR="000F5046" w:rsidRPr="00880F5F" w:rsidRDefault="000F5046" w:rsidP="000E5793">
      <w:pPr>
        <w:spacing w:after="0"/>
        <w:jc w:val="both"/>
        <w:rPr>
          <w:rFonts w:ascii="Arial" w:eastAsia="Times New Roman" w:hAnsi="Arial" w:cs="Arial"/>
          <w:bCs/>
          <w:sz w:val="24"/>
          <w:szCs w:val="24"/>
        </w:rPr>
      </w:pPr>
      <w:r w:rsidRPr="00880F5F">
        <w:rPr>
          <w:rFonts w:ascii="Arial" w:eastAsia="Times New Roman" w:hAnsi="Arial" w:cs="Arial"/>
          <w:bCs/>
          <w:sz w:val="24"/>
          <w:szCs w:val="24"/>
        </w:rPr>
        <w:t xml:space="preserve">El artículo 504, párrafo 1, del código comicial establece que las disposiciones del </w:t>
      </w:r>
      <w:r w:rsidR="00807007" w:rsidRPr="00880F5F">
        <w:rPr>
          <w:rFonts w:ascii="Arial" w:eastAsia="Times New Roman" w:hAnsi="Arial" w:cs="Arial"/>
          <w:bCs/>
          <w:sz w:val="24"/>
          <w:szCs w:val="24"/>
        </w:rPr>
        <w:t>T</w:t>
      </w:r>
      <w:r w:rsidRPr="00880F5F">
        <w:rPr>
          <w:rFonts w:ascii="Arial" w:eastAsia="Times New Roman" w:hAnsi="Arial" w:cs="Arial"/>
          <w:bCs/>
          <w:sz w:val="24"/>
          <w:szCs w:val="24"/>
        </w:rPr>
        <w:t>ítulo</w:t>
      </w:r>
      <w:r w:rsidR="00807007" w:rsidRPr="00880F5F">
        <w:rPr>
          <w:rFonts w:ascii="Arial" w:eastAsia="Times New Roman" w:hAnsi="Arial" w:cs="Arial"/>
          <w:bCs/>
          <w:sz w:val="24"/>
          <w:szCs w:val="24"/>
        </w:rPr>
        <w:t xml:space="preserve"> </w:t>
      </w:r>
      <w:r w:rsidR="00370C64" w:rsidRPr="00880F5F">
        <w:rPr>
          <w:rFonts w:ascii="Arial" w:eastAsia="Times New Roman" w:hAnsi="Arial" w:cs="Arial"/>
          <w:bCs/>
          <w:sz w:val="24"/>
          <w:szCs w:val="24"/>
        </w:rPr>
        <w:t xml:space="preserve">Segundo del Libro Séptimo, </w:t>
      </w:r>
      <w:r w:rsidR="00807007" w:rsidRPr="00880F5F">
        <w:rPr>
          <w:rFonts w:ascii="Arial" w:eastAsia="Times New Roman" w:hAnsi="Arial" w:cs="Arial"/>
          <w:bCs/>
          <w:sz w:val="24"/>
          <w:szCs w:val="24"/>
        </w:rPr>
        <w:t xml:space="preserve">rigen para el trámite, sustanciación y resolución de todos los medios de impugnación, con excepción de las reglas particulares señaladas expresamente para cada uno de ellos. </w:t>
      </w:r>
    </w:p>
    <w:p w14:paraId="506B96B3" w14:textId="77777777" w:rsidR="00807007" w:rsidRPr="00880F5F" w:rsidRDefault="00807007" w:rsidP="000E5793">
      <w:pPr>
        <w:spacing w:after="0"/>
        <w:jc w:val="both"/>
        <w:rPr>
          <w:rFonts w:ascii="Arial" w:eastAsia="Times New Roman" w:hAnsi="Arial" w:cs="Arial"/>
          <w:bCs/>
          <w:sz w:val="24"/>
          <w:szCs w:val="24"/>
        </w:rPr>
      </w:pPr>
    </w:p>
    <w:p w14:paraId="4A812C84" w14:textId="77777777" w:rsidR="00807007" w:rsidRPr="00880F5F" w:rsidRDefault="00807007" w:rsidP="000E5793">
      <w:pPr>
        <w:spacing w:after="0"/>
        <w:jc w:val="both"/>
        <w:rPr>
          <w:rFonts w:ascii="Arial" w:eastAsia="Times New Roman" w:hAnsi="Arial" w:cs="Arial"/>
          <w:bCs/>
          <w:sz w:val="24"/>
          <w:szCs w:val="24"/>
        </w:rPr>
      </w:pPr>
      <w:r w:rsidRPr="00880F5F">
        <w:rPr>
          <w:rFonts w:ascii="Arial" w:eastAsia="Times New Roman" w:hAnsi="Arial" w:cs="Arial"/>
          <w:bCs/>
          <w:sz w:val="24"/>
          <w:szCs w:val="24"/>
        </w:rPr>
        <w:t xml:space="preserve">Por su parte el numeral 583 del código electoral local, dispone </w:t>
      </w:r>
      <w:r w:rsidR="00C86C28" w:rsidRPr="00880F5F">
        <w:rPr>
          <w:rFonts w:ascii="Arial" w:eastAsia="Times New Roman" w:hAnsi="Arial" w:cs="Arial"/>
          <w:bCs/>
          <w:sz w:val="24"/>
          <w:szCs w:val="24"/>
        </w:rPr>
        <w:t xml:space="preserve">que el recurso de revisión deberá interponerse dentro de los </w:t>
      </w:r>
      <w:r w:rsidR="00C86C28" w:rsidRPr="00880F5F">
        <w:rPr>
          <w:rFonts w:ascii="Arial" w:eastAsia="Times New Roman" w:hAnsi="Arial" w:cs="Arial"/>
          <w:b/>
          <w:bCs/>
          <w:sz w:val="24"/>
          <w:szCs w:val="24"/>
        </w:rPr>
        <w:t>tres días</w:t>
      </w:r>
      <w:r w:rsidR="00C86C28" w:rsidRPr="00880F5F">
        <w:rPr>
          <w:rFonts w:ascii="Arial" w:eastAsia="Times New Roman" w:hAnsi="Arial" w:cs="Arial"/>
          <w:bCs/>
          <w:sz w:val="24"/>
          <w:szCs w:val="24"/>
        </w:rPr>
        <w:t xml:space="preserve"> siguientes a aquél en que se hubiese notificado el acto o resolución que se recurra. </w:t>
      </w:r>
    </w:p>
    <w:p w14:paraId="58959579" w14:textId="77777777" w:rsidR="00807007" w:rsidRPr="00880F5F" w:rsidRDefault="00807007" w:rsidP="000E5793">
      <w:pPr>
        <w:spacing w:after="0"/>
        <w:jc w:val="both"/>
        <w:rPr>
          <w:rFonts w:ascii="Arial" w:eastAsia="Times New Roman" w:hAnsi="Arial" w:cs="Arial"/>
          <w:bCs/>
          <w:sz w:val="24"/>
          <w:szCs w:val="24"/>
        </w:rPr>
      </w:pPr>
    </w:p>
    <w:p w14:paraId="7D9434C5" w14:textId="77777777" w:rsidR="00F81C60" w:rsidRPr="00880F5F" w:rsidRDefault="00F81C60" w:rsidP="000E5793">
      <w:pPr>
        <w:spacing w:after="0"/>
        <w:jc w:val="both"/>
        <w:rPr>
          <w:rFonts w:ascii="Arial" w:eastAsia="Times New Roman" w:hAnsi="Arial" w:cs="Arial"/>
          <w:b/>
          <w:sz w:val="24"/>
          <w:szCs w:val="24"/>
          <w:lang w:eastAsia="es-ES"/>
        </w:rPr>
      </w:pPr>
      <w:r w:rsidRPr="00880F5F">
        <w:rPr>
          <w:rFonts w:ascii="Arial" w:eastAsia="Times New Roman" w:hAnsi="Arial" w:cs="Arial"/>
          <w:spacing w:val="-3"/>
          <w:sz w:val="24"/>
          <w:szCs w:val="24"/>
          <w:lang w:eastAsia="es-ES"/>
        </w:rPr>
        <w:t>A su vez, para el cómputo de los plazos el ar</w:t>
      </w:r>
      <w:r w:rsidR="001C165D" w:rsidRPr="00880F5F">
        <w:rPr>
          <w:rFonts w:ascii="Arial" w:hAnsi="Arial" w:cs="Arial"/>
          <w:bCs/>
          <w:sz w:val="24"/>
          <w:szCs w:val="24"/>
        </w:rPr>
        <w:t>tículo 505, párrafo 3</w:t>
      </w:r>
      <w:r w:rsidR="00FC209B" w:rsidRPr="00880F5F">
        <w:rPr>
          <w:rFonts w:ascii="Arial" w:hAnsi="Arial" w:cs="Arial"/>
          <w:bCs/>
          <w:sz w:val="24"/>
          <w:szCs w:val="24"/>
        </w:rPr>
        <w:t xml:space="preserve"> </w:t>
      </w:r>
      <w:r w:rsidRPr="00880F5F">
        <w:rPr>
          <w:rFonts w:ascii="Arial" w:hAnsi="Arial" w:cs="Arial"/>
          <w:sz w:val="24"/>
          <w:szCs w:val="24"/>
        </w:rPr>
        <w:t xml:space="preserve">del código electoral, establece que </w:t>
      </w:r>
      <w:r w:rsidR="003A396B" w:rsidRPr="00880F5F">
        <w:rPr>
          <w:rFonts w:ascii="Arial" w:hAnsi="Arial" w:cs="Arial"/>
          <w:sz w:val="24"/>
          <w:szCs w:val="24"/>
        </w:rPr>
        <w:t xml:space="preserve">cuando la violación reclamada en el medio de impugnación no se produzca durante el desarrollo de un proceso electoral ordinario o extraordinario, el cómputo de los plazos se hará contando solamente los días hábiles, debiendo entenderse como tales todos los días a excepción de los sábados, domingos, y los inhábiles en términos de ley. </w:t>
      </w:r>
    </w:p>
    <w:p w14:paraId="39B96666" w14:textId="77777777" w:rsidR="00F81C60" w:rsidRPr="00880F5F" w:rsidRDefault="00F81C60" w:rsidP="000E5793">
      <w:pPr>
        <w:pStyle w:val="Prrafodelista"/>
        <w:spacing w:after="0"/>
        <w:ind w:left="0"/>
        <w:rPr>
          <w:rFonts w:ascii="Arial" w:eastAsia="Times New Roman" w:hAnsi="Arial" w:cs="Arial"/>
          <w:b/>
          <w:sz w:val="24"/>
          <w:szCs w:val="24"/>
          <w:lang w:eastAsia="es-ES"/>
        </w:rPr>
      </w:pPr>
    </w:p>
    <w:p w14:paraId="189A2236" w14:textId="0204EA57" w:rsidR="00F81C60" w:rsidRPr="00880F5F" w:rsidRDefault="00F81C60" w:rsidP="000E5793">
      <w:pPr>
        <w:spacing w:after="0"/>
        <w:jc w:val="both"/>
        <w:rPr>
          <w:rFonts w:ascii="Arial" w:eastAsia="Times New Roman" w:hAnsi="Arial" w:cs="Arial"/>
          <w:b/>
          <w:sz w:val="24"/>
          <w:szCs w:val="24"/>
          <w:lang w:eastAsia="es-ES"/>
        </w:rPr>
      </w:pPr>
      <w:r w:rsidRPr="00880F5F">
        <w:rPr>
          <w:rFonts w:ascii="Arial" w:eastAsia="Times New Roman" w:hAnsi="Arial" w:cs="Arial"/>
          <w:sz w:val="24"/>
          <w:szCs w:val="24"/>
          <w:lang w:eastAsia="es-ES"/>
        </w:rPr>
        <w:t>Por otra parte, el artículo 5</w:t>
      </w:r>
      <w:r w:rsidR="000E5793" w:rsidRPr="00880F5F">
        <w:rPr>
          <w:rFonts w:ascii="Arial" w:eastAsia="Times New Roman" w:hAnsi="Arial" w:cs="Arial"/>
          <w:sz w:val="24"/>
          <w:szCs w:val="24"/>
          <w:lang w:eastAsia="es-ES"/>
        </w:rPr>
        <w:t xml:space="preserve">47, párrafo 2 </w:t>
      </w:r>
      <w:r w:rsidRPr="00880F5F">
        <w:rPr>
          <w:rFonts w:ascii="Arial" w:eastAsia="Times New Roman" w:hAnsi="Arial" w:cs="Arial"/>
          <w:sz w:val="24"/>
          <w:szCs w:val="24"/>
          <w:lang w:eastAsia="es-ES"/>
        </w:rPr>
        <w:t xml:space="preserve">del ordenamiento legal invocado, dispone que </w:t>
      </w:r>
      <w:r w:rsidR="000E5793" w:rsidRPr="00880F5F">
        <w:rPr>
          <w:rFonts w:ascii="Arial" w:eastAsia="Times New Roman" w:hAnsi="Arial" w:cs="Arial"/>
          <w:sz w:val="24"/>
          <w:szCs w:val="24"/>
          <w:lang w:eastAsia="es-ES"/>
        </w:rPr>
        <w:t xml:space="preserve">las notificaciones a que se refiere </w:t>
      </w:r>
      <w:r w:rsidR="000E3EB2" w:rsidRPr="00880F5F">
        <w:rPr>
          <w:rFonts w:ascii="Arial" w:eastAsia="Times New Roman" w:hAnsi="Arial" w:cs="Arial"/>
          <w:sz w:val="24"/>
          <w:szCs w:val="24"/>
          <w:lang w:eastAsia="es-ES"/>
        </w:rPr>
        <w:t>dicho</w:t>
      </w:r>
      <w:r w:rsidR="000E5793" w:rsidRPr="00880F5F">
        <w:rPr>
          <w:rFonts w:ascii="Arial" w:eastAsia="Times New Roman" w:hAnsi="Arial" w:cs="Arial"/>
          <w:sz w:val="24"/>
          <w:szCs w:val="24"/>
          <w:lang w:eastAsia="es-ES"/>
        </w:rPr>
        <w:t xml:space="preserve"> ordenamiento surtirán sus efectos el mismo día en que se practiquen. </w:t>
      </w:r>
    </w:p>
    <w:p w14:paraId="6C1F2C35" w14:textId="77777777" w:rsidR="00F81C60" w:rsidRPr="00880F5F" w:rsidRDefault="00F81C60" w:rsidP="007F6888">
      <w:pPr>
        <w:pStyle w:val="Prrafodelista"/>
        <w:spacing w:after="0"/>
        <w:ind w:left="0"/>
        <w:rPr>
          <w:rFonts w:ascii="Arial" w:eastAsia="Times New Roman" w:hAnsi="Arial" w:cs="Arial"/>
          <w:bCs/>
          <w:snapToGrid w:val="0"/>
          <w:spacing w:val="-3"/>
          <w:sz w:val="24"/>
          <w:szCs w:val="24"/>
          <w:lang w:eastAsia="es-ES" w:bidi="es-ES"/>
        </w:rPr>
      </w:pPr>
    </w:p>
    <w:p w14:paraId="0F57688E" w14:textId="43ACAAE0" w:rsidR="00880F5F" w:rsidRDefault="00F81C60" w:rsidP="002F5813">
      <w:pPr>
        <w:spacing w:after="0"/>
        <w:jc w:val="both"/>
        <w:rPr>
          <w:rFonts w:ascii="Arial" w:hAnsi="Arial" w:cs="Arial"/>
          <w:sz w:val="24"/>
          <w:szCs w:val="24"/>
        </w:rPr>
      </w:pPr>
      <w:r w:rsidRPr="00880F5F">
        <w:rPr>
          <w:rFonts w:ascii="Arial" w:hAnsi="Arial" w:cs="Arial"/>
          <w:sz w:val="24"/>
          <w:szCs w:val="24"/>
          <w:lang w:val="es-ES"/>
        </w:rPr>
        <w:t xml:space="preserve">En ese orden de ideas, atento a lo dispuesto </w:t>
      </w:r>
      <w:r w:rsidR="000E5793" w:rsidRPr="00880F5F">
        <w:rPr>
          <w:rFonts w:ascii="Arial" w:hAnsi="Arial" w:cs="Arial"/>
          <w:sz w:val="24"/>
          <w:szCs w:val="24"/>
          <w:lang w:val="es-ES"/>
        </w:rPr>
        <w:t>en</w:t>
      </w:r>
      <w:r w:rsidRPr="00880F5F">
        <w:rPr>
          <w:rFonts w:ascii="Arial" w:hAnsi="Arial" w:cs="Arial"/>
          <w:sz w:val="24"/>
          <w:szCs w:val="24"/>
          <w:lang w:val="es-ES"/>
        </w:rPr>
        <w:t xml:space="preserve"> los dispositivos legales citados,</w:t>
      </w:r>
      <w:r w:rsidRPr="00880F5F">
        <w:rPr>
          <w:rFonts w:ascii="Arial" w:hAnsi="Arial" w:cs="Arial"/>
          <w:b/>
          <w:sz w:val="24"/>
          <w:szCs w:val="24"/>
        </w:rPr>
        <w:t xml:space="preserve"> </w:t>
      </w:r>
      <w:r w:rsidR="00296240" w:rsidRPr="00880F5F">
        <w:rPr>
          <w:rFonts w:ascii="Arial" w:hAnsi="Arial" w:cs="Arial"/>
          <w:sz w:val="24"/>
          <w:szCs w:val="24"/>
        </w:rPr>
        <w:t xml:space="preserve">así como </w:t>
      </w:r>
      <w:r w:rsidR="005F4343" w:rsidRPr="00880F5F">
        <w:rPr>
          <w:rFonts w:ascii="Arial" w:hAnsi="Arial" w:cs="Arial"/>
          <w:sz w:val="24"/>
          <w:szCs w:val="24"/>
        </w:rPr>
        <w:t xml:space="preserve">de la </w:t>
      </w:r>
      <w:r w:rsidR="00296240" w:rsidRPr="00880F5F">
        <w:rPr>
          <w:rFonts w:ascii="Arial" w:hAnsi="Arial" w:cs="Arial"/>
          <w:sz w:val="24"/>
          <w:szCs w:val="24"/>
        </w:rPr>
        <w:t>fecha de la notificación del oficio 589/2022 Secretar</w:t>
      </w:r>
      <w:r w:rsidR="00DC4171" w:rsidRPr="00880F5F">
        <w:rPr>
          <w:rFonts w:ascii="Arial" w:hAnsi="Arial" w:cs="Arial"/>
          <w:sz w:val="24"/>
          <w:szCs w:val="24"/>
        </w:rPr>
        <w:t>í</w:t>
      </w:r>
      <w:r w:rsidR="00296240" w:rsidRPr="00880F5F">
        <w:rPr>
          <w:rFonts w:ascii="Arial" w:hAnsi="Arial" w:cs="Arial"/>
          <w:sz w:val="24"/>
          <w:szCs w:val="24"/>
        </w:rPr>
        <w:t xml:space="preserve">a Ejecutiva </w:t>
      </w:r>
      <w:r w:rsidR="002F5813" w:rsidRPr="00880F5F">
        <w:rPr>
          <w:rFonts w:ascii="Arial" w:hAnsi="Arial" w:cs="Arial"/>
          <w:sz w:val="24"/>
          <w:szCs w:val="24"/>
        </w:rPr>
        <w:t xml:space="preserve">y de la notificación realizada vía correo electrónico, se tiene que la fecha en que tuvo conocimiento el impugnante del acuerdo combatido, es el veintidós de marzo de la presente anualidad, tal como se desprende en las </w:t>
      </w:r>
      <w:r w:rsidR="00880F5F">
        <w:rPr>
          <w:rFonts w:ascii="Arial" w:hAnsi="Arial" w:cs="Arial"/>
          <w:sz w:val="24"/>
          <w:szCs w:val="24"/>
        </w:rPr>
        <w:t xml:space="preserve">imágenes </w:t>
      </w:r>
      <w:r w:rsidR="002F5813" w:rsidRPr="00880F5F">
        <w:rPr>
          <w:rFonts w:ascii="Arial" w:hAnsi="Arial" w:cs="Arial"/>
          <w:sz w:val="24"/>
          <w:szCs w:val="24"/>
        </w:rPr>
        <w:t>siguientes</w:t>
      </w:r>
      <w:r w:rsidR="00880F5F">
        <w:rPr>
          <w:rFonts w:ascii="Arial" w:hAnsi="Arial" w:cs="Arial"/>
          <w:sz w:val="24"/>
          <w:szCs w:val="24"/>
        </w:rPr>
        <w:t>:</w:t>
      </w:r>
    </w:p>
    <w:p w14:paraId="78229E69" w14:textId="77777777" w:rsidR="002F5813" w:rsidRDefault="002F5813" w:rsidP="002F5813">
      <w:pPr>
        <w:spacing w:after="0"/>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513"/>
      </w:tblGrid>
      <w:tr w:rsidR="00880F5F" w14:paraId="758B6DD6" w14:textId="77777777" w:rsidTr="00880F5F">
        <w:tc>
          <w:tcPr>
            <w:tcW w:w="4630" w:type="dxa"/>
          </w:tcPr>
          <w:p w14:paraId="136A0F97" w14:textId="3525F2C5" w:rsidR="00880F5F" w:rsidRDefault="00880F5F" w:rsidP="00880F5F">
            <w:pPr>
              <w:jc w:val="center"/>
              <w:rPr>
                <w:rFonts w:ascii="Arial" w:hAnsi="Arial" w:cs="Arial"/>
                <w:sz w:val="24"/>
                <w:szCs w:val="24"/>
              </w:rPr>
            </w:pPr>
            <w:r w:rsidRPr="00880F5F">
              <w:rPr>
                <w:rFonts w:ascii="Arial" w:hAnsi="Arial" w:cs="Arial"/>
                <w:noProof/>
                <w:sz w:val="24"/>
                <w:szCs w:val="24"/>
                <w:lang w:eastAsia="es-MX"/>
              </w:rPr>
              <w:drawing>
                <wp:inline distT="0" distB="0" distL="0" distR="0" wp14:anchorId="0BDF4669" wp14:editId="29EE5C8B">
                  <wp:extent cx="2962275" cy="2695128"/>
                  <wp:effectExtent l="0" t="0" r="0" b="0"/>
                  <wp:docPr id="4" name="Imagen 4" descr="C:\Users\rosario.rubio\Downloads\WhatsApp Image 2022-08-24 at 10.14.4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rio.rubio\Downloads\WhatsApp Image 2022-08-24 at 10.14.48 AM.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444"/>
                          <a:stretch/>
                        </pic:blipFill>
                        <pic:spPr bwMode="auto">
                          <a:xfrm>
                            <a:off x="0" y="0"/>
                            <a:ext cx="2979876" cy="27111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31" w:type="dxa"/>
          </w:tcPr>
          <w:p w14:paraId="66E4E0A8" w14:textId="0CFE95E2" w:rsidR="00880F5F" w:rsidRDefault="00880F5F" w:rsidP="00880F5F">
            <w:pPr>
              <w:jc w:val="center"/>
              <w:rPr>
                <w:rFonts w:ascii="Arial" w:hAnsi="Arial" w:cs="Arial"/>
                <w:sz w:val="24"/>
                <w:szCs w:val="24"/>
              </w:rPr>
            </w:pPr>
            <w:r w:rsidRPr="00880F5F">
              <w:rPr>
                <w:rFonts w:ascii="Arial" w:hAnsi="Arial" w:cs="Arial"/>
                <w:noProof/>
                <w:highlight w:val="yellow"/>
                <w:lang w:eastAsia="es-MX"/>
              </w:rPr>
              <w:drawing>
                <wp:inline distT="0" distB="0" distL="0" distR="0" wp14:anchorId="1DC8ADB6" wp14:editId="0A223F0C">
                  <wp:extent cx="2752725" cy="2667000"/>
                  <wp:effectExtent l="0" t="0" r="9525" b="0"/>
                  <wp:docPr id="6" name="Imagen 6" descr="C:\Users\rosario.rubio\Downloads\WhatsApp Image 2022-08-24 at 9.56.11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sario.rubio\Downloads\WhatsApp Image 2022-08-24 at 9.56.11 AM (1).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601" b="50477"/>
                          <a:stretch/>
                        </pic:blipFill>
                        <pic:spPr bwMode="auto">
                          <a:xfrm>
                            <a:off x="0" y="0"/>
                            <a:ext cx="2753075" cy="266733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68B0271" w14:textId="77777777" w:rsidR="002F5813" w:rsidRPr="00880F5F" w:rsidRDefault="002F5813" w:rsidP="007F6888">
      <w:pPr>
        <w:spacing w:after="0"/>
        <w:jc w:val="both"/>
        <w:rPr>
          <w:rFonts w:ascii="Arial" w:hAnsi="Arial" w:cs="Arial"/>
          <w:sz w:val="24"/>
          <w:szCs w:val="24"/>
        </w:rPr>
      </w:pPr>
    </w:p>
    <w:p w14:paraId="33E05835" w14:textId="77777777" w:rsidR="00F81C60" w:rsidRPr="00880F5F" w:rsidRDefault="006F3E80" w:rsidP="007F6888">
      <w:pPr>
        <w:spacing w:after="0"/>
        <w:jc w:val="both"/>
        <w:rPr>
          <w:rFonts w:ascii="Arial" w:hAnsi="Arial" w:cs="Arial"/>
          <w:sz w:val="24"/>
          <w:szCs w:val="24"/>
        </w:rPr>
      </w:pPr>
      <w:r w:rsidRPr="00880F5F">
        <w:rPr>
          <w:rFonts w:ascii="Arial" w:hAnsi="Arial" w:cs="Arial"/>
          <w:b/>
          <w:sz w:val="24"/>
          <w:szCs w:val="24"/>
        </w:rPr>
        <w:t>Así mismo, del</w:t>
      </w:r>
      <w:r w:rsidR="00906540" w:rsidRPr="00880F5F">
        <w:rPr>
          <w:rFonts w:ascii="Arial" w:hAnsi="Arial" w:cs="Arial"/>
          <w:b/>
          <w:sz w:val="24"/>
          <w:szCs w:val="24"/>
        </w:rPr>
        <w:t xml:space="preserve"> examen </w:t>
      </w:r>
      <w:r w:rsidR="00F81C60" w:rsidRPr="00880F5F">
        <w:rPr>
          <w:rFonts w:ascii="Arial" w:hAnsi="Arial" w:cs="Arial"/>
          <w:sz w:val="24"/>
          <w:szCs w:val="24"/>
        </w:rPr>
        <w:t xml:space="preserve">del escrito de demanda, se advierte que el actor señala lo siguiente: </w:t>
      </w:r>
    </w:p>
    <w:p w14:paraId="40A4AC3D" w14:textId="77777777" w:rsidR="00F81C60" w:rsidRPr="00880F5F" w:rsidRDefault="00F81C60" w:rsidP="007F6888">
      <w:pPr>
        <w:spacing w:after="0"/>
        <w:jc w:val="both"/>
        <w:rPr>
          <w:rFonts w:ascii="Arial" w:hAnsi="Arial" w:cs="Arial"/>
          <w:sz w:val="24"/>
          <w:szCs w:val="24"/>
        </w:rPr>
      </w:pPr>
    </w:p>
    <w:p w14:paraId="087088D7" w14:textId="77777777" w:rsidR="00F81C60" w:rsidRPr="00880F5F" w:rsidRDefault="00F81C60" w:rsidP="007F6888">
      <w:pPr>
        <w:spacing w:after="0"/>
        <w:ind w:left="567" w:right="567"/>
        <w:jc w:val="both"/>
        <w:rPr>
          <w:rFonts w:ascii="Arial" w:hAnsi="Arial" w:cs="Arial"/>
          <w:b/>
          <w:bCs/>
          <w:sz w:val="24"/>
          <w:szCs w:val="24"/>
        </w:rPr>
      </w:pPr>
      <w:r w:rsidRPr="00880F5F">
        <w:rPr>
          <w:rFonts w:ascii="Arial" w:hAnsi="Arial" w:cs="Arial"/>
          <w:b/>
          <w:bCs/>
          <w:sz w:val="24"/>
          <w:szCs w:val="24"/>
        </w:rPr>
        <w:t>“…</w:t>
      </w:r>
    </w:p>
    <w:p w14:paraId="603E4A10" w14:textId="77777777" w:rsidR="00F81C60" w:rsidRPr="00880F5F" w:rsidRDefault="00CB07A1" w:rsidP="007F6888">
      <w:pPr>
        <w:spacing w:after="0"/>
        <w:ind w:left="567" w:right="567"/>
        <w:jc w:val="both"/>
        <w:rPr>
          <w:rFonts w:ascii="Arial" w:hAnsi="Arial" w:cs="Arial"/>
        </w:rPr>
      </w:pPr>
      <w:r w:rsidRPr="00880F5F">
        <w:rPr>
          <w:rFonts w:ascii="Arial" w:hAnsi="Arial" w:cs="Arial"/>
          <w:bCs/>
        </w:rPr>
        <w:t>IV</w:t>
      </w:r>
      <w:r w:rsidR="00F81C60" w:rsidRPr="00880F5F">
        <w:rPr>
          <w:rFonts w:ascii="Arial" w:hAnsi="Arial" w:cs="Arial"/>
          <w:bCs/>
        </w:rPr>
        <w:t xml:space="preserve">. </w:t>
      </w:r>
      <w:r w:rsidRPr="00880F5F">
        <w:rPr>
          <w:rFonts w:ascii="Arial" w:hAnsi="Arial" w:cs="Arial"/>
          <w:bCs/>
        </w:rPr>
        <w:t>Identificar el acto o resolución impugnada y al responsable del mismo; Es</w:t>
      </w:r>
      <w:r w:rsidRPr="00880F5F">
        <w:rPr>
          <w:rFonts w:ascii="Arial" w:hAnsi="Arial" w:cs="Arial"/>
        </w:rPr>
        <w:t xml:space="preserve">crito de contestación emitido por el Instituto Electoral y de Participación Ciudadana del Estado de Jalisco, de fecha 18 de marzo de 2022, </w:t>
      </w:r>
      <w:r w:rsidRPr="00880F5F">
        <w:rPr>
          <w:rFonts w:ascii="Arial" w:hAnsi="Arial" w:cs="Arial"/>
          <w:b/>
        </w:rPr>
        <w:t>notificado a este representante del partido de Morena en 22 de marzo de 2022,</w:t>
      </w:r>
      <w:r w:rsidRPr="00880F5F">
        <w:rPr>
          <w:rFonts w:ascii="Arial" w:hAnsi="Arial" w:cs="Arial"/>
        </w:rPr>
        <w:t xml:space="preserve"> derivado del escrito de solicitud de información</w:t>
      </w:r>
      <w:r w:rsidR="00F81C60" w:rsidRPr="00880F5F">
        <w:rPr>
          <w:rFonts w:ascii="Arial" w:hAnsi="Arial" w:cs="Arial"/>
        </w:rPr>
        <w:t>…”</w:t>
      </w:r>
    </w:p>
    <w:p w14:paraId="50AC3D39" w14:textId="77777777" w:rsidR="00F81C60" w:rsidRPr="00880F5F" w:rsidRDefault="00A130CE" w:rsidP="007F6888">
      <w:pPr>
        <w:spacing w:after="0"/>
        <w:ind w:left="567" w:right="567"/>
        <w:jc w:val="right"/>
        <w:rPr>
          <w:rFonts w:ascii="Arial" w:hAnsi="Arial" w:cs="Arial"/>
          <w:bCs/>
        </w:rPr>
      </w:pPr>
      <w:r w:rsidRPr="00880F5F">
        <w:rPr>
          <w:rFonts w:ascii="Arial" w:hAnsi="Arial" w:cs="Arial"/>
          <w:bCs/>
        </w:rPr>
        <w:t>(L</w:t>
      </w:r>
      <w:r w:rsidR="00F81C60" w:rsidRPr="00880F5F">
        <w:rPr>
          <w:rFonts w:ascii="Arial" w:hAnsi="Arial" w:cs="Arial"/>
          <w:bCs/>
        </w:rPr>
        <w:t>o resaltado es propio)</w:t>
      </w:r>
    </w:p>
    <w:p w14:paraId="7AB5A5BF" w14:textId="77777777" w:rsidR="00F81C60" w:rsidRPr="00880F5F" w:rsidRDefault="00F81C60" w:rsidP="007F6888">
      <w:pPr>
        <w:pStyle w:val="Prrafodelista"/>
        <w:spacing w:after="0"/>
        <w:ind w:left="0"/>
        <w:rPr>
          <w:rFonts w:ascii="Arial" w:eastAsia="Times New Roman" w:hAnsi="Arial" w:cs="Arial"/>
          <w:bCs/>
          <w:snapToGrid w:val="0"/>
          <w:spacing w:val="-3"/>
          <w:sz w:val="24"/>
          <w:szCs w:val="24"/>
          <w:lang w:eastAsia="es-ES" w:bidi="es-ES"/>
        </w:rPr>
      </w:pPr>
    </w:p>
    <w:p w14:paraId="25A47BC3" w14:textId="3692D2C8" w:rsidR="00F81C60" w:rsidRPr="00880F5F" w:rsidRDefault="00F81C60" w:rsidP="007F6888">
      <w:pPr>
        <w:spacing w:after="0"/>
        <w:jc w:val="both"/>
        <w:rPr>
          <w:rFonts w:ascii="Arial" w:eastAsia="Times New Roman" w:hAnsi="Arial" w:cs="Arial"/>
          <w:bCs/>
          <w:sz w:val="24"/>
          <w:szCs w:val="24"/>
          <w:lang w:eastAsia="es-ES"/>
        </w:rPr>
      </w:pPr>
      <w:r w:rsidRPr="00880F5F">
        <w:rPr>
          <w:rFonts w:ascii="Arial" w:eastAsia="Times New Roman" w:hAnsi="Arial" w:cs="Arial"/>
          <w:snapToGrid w:val="0"/>
          <w:spacing w:val="-3"/>
          <w:sz w:val="24"/>
          <w:szCs w:val="24"/>
          <w:lang w:val="es-ES" w:eastAsia="es-ES"/>
        </w:rPr>
        <w:t xml:space="preserve">En consecuencia, si el promovente </w:t>
      </w:r>
      <w:r w:rsidR="00805363" w:rsidRPr="00880F5F">
        <w:rPr>
          <w:rFonts w:ascii="Arial" w:eastAsia="Times New Roman" w:hAnsi="Arial" w:cs="Arial"/>
          <w:snapToGrid w:val="0"/>
          <w:spacing w:val="-3"/>
          <w:sz w:val="24"/>
          <w:szCs w:val="24"/>
          <w:lang w:val="es-ES" w:eastAsia="es-ES"/>
        </w:rPr>
        <w:t xml:space="preserve">fue notificado del acuerdo combatido el veintidós de marzo, la referida notificación </w:t>
      </w:r>
      <w:r w:rsidRPr="00880F5F">
        <w:rPr>
          <w:rFonts w:ascii="Arial" w:eastAsia="Times New Roman" w:hAnsi="Arial" w:cs="Arial"/>
          <w:snapToGrid w:val="0"/>
          <w:spacing w:val="-3"/>
          <w:sz w:val="24"/>
          <w:szCs w:val="24"/>
          <w:lang w:val="es-ES" w:eastAsia="es-ES"/>
        </w:rPr>
        <w:t xml:space="preserve">surte efectos el </w:t>
      </w:r>
      <w:r w:rsidR="00805363" w:rsidRPr="00880F5F">
        <w:rPr>
          <w:rFonts w:ascii="Arial" w:eastAsia="Times New Roman" w:hAnsi="Arial" w:cs="Arial"/>
          <w:snapToGrid w:val="0"/>
          <w:spacing w:val="-3"/>
          <w:sz w:val="24"/>
          <w:szCs w:val="24"/>
          <w:lang w:val="es-ES" w:eastAsia="es-ES"/>
        </w:rPr>
        <w:t xml:space="preserve">mismo día de conformidad con los dispositivos </w:t>
      </w:r>
      <w:r w:rsidR="002D7B63" w:rsidRPr="00880F5F">
        <w:rPr>
          <w:rFonts w:ascii="Arial" w:eastAsia="Times New Roman" w:hAnsi="Arial" w:cs="Arial"/>
          <w:snapToGrid w:val="0"/>
          <w:spacing w:val="-3"/>
          <w:sz w:val="24"/>
          <w:szCs w:val="24"/>
          <w:lang w:val="es-ES" w:eastAsia="es-ES"/>
        </w:rPr>
        <w:t>citado</w:t>
      </w:r>
      <w:r w:rsidR="00DC4171" w:rsidRPr="00880F5F">
        <w:rPr>
          <w:rFonts w:ascii="Arial" w:eastAsia="Times New Roman" w:hAnsi="Arial" w:cs="Arial"/>
          <w:snapToGrid w:val="0"/>
          <w:spacing w:val="-3"/>
          <w:sz w:val="24"/>
          <w:szCs w:val="24"/>
          <w:lang w:val="es-ES" w:eastAsia="es-ES"/>
        </w:rPr>
        <w:t xml:space="preserve">s, de forma que </w:t>
      </w:r>
      <w:r w:rsidRPr="00880F5F">
        <w:rPr>
          <w:rFonts w:ascii="Arial" w:eastAsia="Times New Roman" w:hAnsi="Arial" w:cs="Arial"/>
          <w:snapToGrid w:val="0"/>
          <w:spacing w:val="-3"/>
          <w:sz w:val="24"/>
          <w:szCs w:val="24"/>
          <w:lang w:val="es-ES" w:eastAsia="es-ES"/>
        </w:rPr>
        <w:t xml:space="preserve">el término </w:t>
      </w:r>
      <w:r w:rsidR="00DB0CE5" w:rsidRPr="00880F5F">
        <w:rPr>
          <w:rFonts w:ascii="Arial" w:eastAsia="Times New Roman" w:hAnsi="Arial" w:cs="Arial"/>
          <w:snapToGrid w:val="0"/>
          <w:spacing w:val="-3"/>
          <w:sz w:val="24"/>
          <w:szCs w:val="24"/>
          <w:lang w:val="es-ES" w:eastAsia="es-ES"/>
        </w:rPr>
        <w:t xml:space="preserve">de tres días </w:t>
      </w:r>
      <w:r w:rsidRPr="00880F5F">
        <w:rPr>
          <w:rFonts w:ascii="Arial" w:eastAsia="Times New Roman" w:hAnsi="Arial" w:cs="Arial"/>
          <w:snapToGrid w:val="0"/>
          <w:spacing w:val="-3"/>
          <w:sz w:val="24"/>
          <w:szCs w:val="24"/>
          <w:lang w:val="es-ES" w:eastAsia="es-ES"/>
        </w:rPr>
        <w:t xml:space="preserve">para su impugnación corrió </w:t>
      </w:r>
      <w:r w:rsidR="00603561" w:rsidRPr="00880F5F">
        <w:rPr>
          <w:rFonts w:ascii="Arial" w:eastAsia="Times New Roman" w:hAnsi="Arial" w:cs="Arial"/>
          <w:snapToGrid w:val="0"/>
          <w:spacing w:val="-3"/>
          <w:sz w:val="24"/>
          <w:szCs w:val="24"/>
          <w:lang w:val="es-ES" w:eastAsia="es-ES"/>
        </w:rPr>
        <w:t xml:space="preserve">del </w:t>
      </w:r>
      <w:r w:rsidR="002C1AF6" w:rsidRPr="00880F5F">
        <w:rPr>
          <w:rFonts w:ascii="Arial" w:eastAsia="Times New Roman" w:hAnsi="Arial" w:cs="Arial"/>
          <w:snapToGrid w:val="0"/>
          <w:spacing w:val="-3"/>
          <w:sz w:val="24"/>
          <w:szCs w:val="24"/>
          <w:lang w:val="es-ES" w:eastAsia="es-ES"/>
        </w:rPr>
        <w:t>veintitrés</w:t>
      </w:r>
      <w:r w:rsidRPr="00880F5F">
        <w:rPr>
          <w:rFonts w:ascii="Arial" w:eastAsia="Times New Roman" w:hAnsi="Arial" w:cs="Arial"/>
          <w:snapToGrid w:val="0"/>
          <w:spacing w:val="-3"/>
          <w:sz w:val="24"/>
          <w:szCs w:val="24"/>
          <w:lang w:val="es-ES" w:eastAsia="es-ES"/>
        </w:rPr>
        <w:t xml:space="preserve"> al </w:t>
      </w:r>
      <w:r w:rsidR="002C1AF6" w:rsidRPr="00880F5F">
        <w:rPr>
          <w:rFonts w:ascii="Arial" w:eastAsia="Times New Roman" w:hAnsi="Arial" w:cs="Arial"/>
          <w:snapToGrid w:val="0"/>
          <w:spacing w:val="-3"/>
          <w:sz w:val="24"/>
          <w:szCs w:val="24"/>
          <w:lang w:val="es-ES" w:eastAsia="es-ES"/>
        </w:rPr>
        <w:t xml:space="preserve">veinticinco </w:t>
      </w:r>
      <w:r w:rsidRPr="00880F5F">
        <w:rPr>
          <w:rFonts w:ascii="Arial" w:eastAsia="Times New Roman" w:hAnsi="Arial" w:cs="Arial"/>
          <w:snapToGrid w:val="0"/>
          <w:spacing w:val="-3"/>
          <w:sz w:val="24"/>
          <w:szCs w:val="24"/>
          <w:lang w:val="es-ES" w:eastAsia="es-ES"/>
        </w:rPr>
        <w:t xml:space="preserve">de marzo. </w:t>
      </w:r>
    </w:p>
    <w:p w14:paraId="322CA68E" w14:textId="77777777" w:rsidR="00F81C60" w:rsidRPr="00880F5F" w:rsidRDefault="00F81C60" w:rsidP="005C649D">
      <w:pPr>
        <w:pStyle w:val="Prrafodelista"/>
        <w:spacing w:after="0"/>
        <w:ind w:left="0"/>
        <w:rPr>
          <w:rFonts w:ascii="Arial" w:eastAsia="Times New Roman" w:hAnsi="Arial" w:cs="Arial"/>
          <w:bCs/>
          <w:sz w:val="24"/>
          <w:szCs w:val="24"/>
          <w:lang w:eastAsia="es-ES"/>
        </w:rPr>
      </w:pPr>
    </w:p>
    <w:p w14:paraId="3D365812" w14:textId="71ADAB05" w:rsidR="00F81C60" w:rsidRDefault="00F81C60" w:rsidP="00880F5F">
      <w:pPr>
        <w:spacing w:after="0"/>
        <w:jc w:val="both"/>
        <w:rPr>
          <w:rFonts w:ascii="Arial" w:hAnsi="Arial" w:cs="Arial"/>
          <w:sz w:val="24"/>
          <w:szCs w:val="24"/>
        </w:rPr>
      </w:pPr>
      <w:r w:rsidRPr="00880F5F">
        <w:rPr>
          <w:rFonts w:ascii="Arial" w:hAnsi="Arial" w:cs="Arial"/>
          <w:sz w:val="24"/>
          <w:szCs w:val="24"/>
        </w:rPr>
        <w:t>En síntesis, la oportunidad en la presentación de la demanda del medio de impugnación, se ilustra en el siguiente cuadro:</w:t>
      </w:r>
    </w:p>
    <w:p w14:paraId="5EA8DDF2" w14:textId="77777777" w:rsidR="00880F5F" w:rsidRPr="00880F5F" w:rsidRDefault="00880F5F" w:rsidP="00880F5F">
      <w:pPr>
        <w:spacing w:after="0"/>
        <w:jc w:val="both"/>
        <w:rPr>
          <w:rFonts w:ascii="Arial" w:hAnsi="Arial" w:cs="Arial"/>
          <w:b/>
          <w:sz w:val="28"/>
          <w:szCs w:val="28"/>
        </w:rPr>
      </w:pPr>
    </w:p>
    <w:tbl>
      <w:tblPr>
        <w:tblStyle w:val="Tablaconcuadrcula"/>
        <w:tblpPr w:leftFromText="141" w:rightFromText="141" w:vertAnchor="text" w:horzAnchor="margin" w:tblpXSpec="center" w:tblpY="188"/>
        <w:tblW w:w="5000" w:type="pct"/>
        <w:tblLook w:val="04A0" w:firstRow="1" w:lastRow="0" w:firstColumn="1" w:lastColumn="0" w:noHBand="0" w:noVBand="1"/>
      </w:tblPr>
      <w:tblGrid>
        <w:gridCol w:w="2035"/>
        <w:gridCol w:w="1483"/>
        <w:gridCol w:w="2148"/>
        <w:gridCol w:w="1729"/>
        <w:gridCol w:w="1942"/>
      </w:tblGrid>
      <w:tr w:rsidR="00F81C60" w:rsidRPr="00880F5F" w14:paraId="5A37D2B1" w14:textId="77777777" w:rsidTr="00880F5F">
        <w:tc>
          <w:tcPr>
            <w:tcW w:w="10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DD8AAB" w14:textId="77777777" w:rsidR="00F81C60" w:rsidRPr="00880F5F" w:rsidRDefault="00F81C60" w:rsidP="005C649D">
            <w:pPr>
              <w:jc w:val="both"/>
              <w:rPr>
                <w:rFonts w:ascii="Arial" w:hAnsi="Arial" w:cs="Arial"/>
                <w:b/>
                <w:bCs/>
                <w:sz w:val="20"/>
                <w:szCs w:val="20"/>
              </w:rPr>
            </w:pPr>
            <w:r w:rsidRPr="00880F5F">
              <w:rPr>
                <w:rFonts w:ascii="Arial" w:hAnsi="Arial" w:cs="Arial"/>
                <w:b/>
                <w:bCs/>
                <w:sz w:val="20"/>
                <w:szCs w:val="20"/>
              </w:rPr>
              <w:t xml:space="preserve">LA </w:t>
            </w:r>
            <w:r w:rsidR="005C649D" w:rsidRPr="00880F5F">
              <w:rPr>
                <w:rFonts w:ascii="Arial" w:hAnsi="Arial" w:cs="Arial"/>
                <w:b/>
                <w:bCs/>
                <w:sz w:val="20"/>
                <w:szCs w:val="20"/>
              </w:rPr>
              <w:t xml:space="preserve">PARTE </w:t>
            </w:r>
            <w:r w:rsidRPr="00880F5F">
              <w:rPr>
                <w:rFonts w:ascii="Arial" w:hAnsi="Arial" w:cs="Arial"/>
                <w:b/>
                <w:bCs/>
                <w:sz w:val="20"/>
                <w:szCs w:val="20"/>
              </w:rPr>
              <w:t xml:space="preserve">ACTORA SE HACE SABEDORA DEL </w:t>
            </w:r>
            <w:r w:rsidR="005C649D" w:rsidRPr="00880F5F">
              <w:rPr>
                <w:rFonts w:ascii="Arial" w:hAnsi="Arial" w:cs="Arial"/>
                <w:b/>
                <w:bCs/>
                <w:sz w:val="20"/>
                <w:szCs w:val="20"/>
              </w:rPr>
              <w:t xml:space="preserve">ACUERDO ADMINISTRATIVO </w:t>
            </w:r>
            <w:r w:rsidRPr="00880F5F">
              <w:rPr>
                <w:rFonts w:ascii="Arial" w:hAnsi="Arial" w:cs="Arial"/>
                <w:b/>
                <w:bCs/>
                <w:sz w:val="20"/>
                <w:szCs w:val="20"/>
              </w:rPr>
              <w:t xml:space="preserve"> </w:t>
            </w:r>
          </w:p>
        </w:tc>
        <w:tc>
          <w:tcPr>
            <w:tcW w:w="7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1DC40D" w14:textId="77777777" w:rsidR="00F81C60" w:rsidRPr="00880F5F" w:rsidRDefault="00F81C60" w:rsidP="005C649D">
            <w:pPr>
              <w:jc w:val="both"/>
              <w:rPr>
                <w:rFonts w:ascii="Arial" w:hAnsi="Arial" w:cs="Arial"/>
                <w:b/>
                <w:bCs/>
                <w:sz w:val="20"/>
                <w:szCs w:val="20"/>
              </w:rPr>
            </w:pPr>
            <w:r w:rsidRPr="00880F5F">
              <w:rPr>
                <w:rFonts w:ascii="Arial" w:hAnsi="Arial" w:cs="Arial"/>
                <w:b/>
                <w:bCs/>
                <w:sz w:val="20"/>
                <w:szCs w:val="20"/>
              </w:rPr>
              <w:t>SURTIÓ EFECTOS</w:t>
            </w:r>
          </w:p>
        </w:tc>
        <w:tc>
          <w:tcPr>
            <w:tcW w:w="11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F6D8DA" w14:textId="77777777" w:rsidR="00F81C60" w:rsidRPr="00880F5F" w:rsidRDefault="00F81C60" w:rsidP="005C649D">
            <w:pPr>
              <w:jc w:val="both"/>
              <w:rPr>
                <w:rFonts w:ascii="Arial" w:hAnsi="Arial" w:cs="Arial"/>
                <w:b/>
                <w:bCs/>
                <w:sz w:val="20"/>
                <w:szCs w:val="20"/>
              </w:rPr>
            </w:pPr>
            <w:r w:rsidRPr="00880F5F">
              <w:rPr>
                <w:rFonts w:ascii="Arial" w:hAnsi="Arial" w:cs="Arial"/>
                <w:b/>
                <w:bCs/>
                <w:sz w:val="20"/>
                <w:szCs w:val="20"/>
              </w:rPr>
              <w:t>PLAZO PARA LA INTERPOSICIÓN DEL MEDIO DE IMPUGNACIÓN</w:t>
            </w:r>
          </w:p>
        </w:tc>
        <w:tc>
          <w:tcPr>
            <w:tcW w:w="9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E9EA87" w14:textId="77777777" w:rsidR="00F81C60" w:rsidRPr="00880F5F" w:rsidRDefault="00F81C60" w:rsidP="005C649D">
            <w:pPr>
              <w:jc w:val="both"/>
              <w:rPr>
                <w:rFonts w:ascii="Arial" w:hAnsi="Arial" w:cs="Arial"/>
                <w:b/>
                <w:bCs/>
                <w:sz w:val="20"/>
                <w:szCs w:val="20"/>
              </w:rPr>
            </w:pPr>
            <w:r w:rsidRPr="00880F5F">
              <w:rPr>
                <w:rFonts w:ascii="Arial" w:hAnsi="Arial" w:cs="Arial"/>
                <w:b/>
                <w:bCs/>
                <w:sz w:val="20"/>
                <w:szCs w:val="20"/>
              </w:rPr>
              <w:t>CONCLUSIÓN</w:t>
            </w:r>
          </w:p>
          <w:p w14:paraId="5ED713E2" w14:textId="77777777" w:rsidR="00F81C60" w:rsidRPr="00880F5F" w:rsidRDefault="00F81C60" w:rsidP="005C649D">
            <w:pPr>
              <w:jc w:val="both"/>
              <w:rPr>
                <w:rFonts w:ascii="Arial" w:hAnsi="Arial" w:cs="Arial"/>
                <w:b/>
                <w:bCs/>
                <w:sz w:val="20"/>
                <w:szCs w:val="20"/>
              </w:rPr>
            </w:pPr>
            <w:r w:rsidRPr="00880F5F">
              <w:rPr>
                <w:rFonts w:ascii="Arial" w:hAnsi="Arial" w:cs="Arial"/>
                <w:b/>
                <w:bCs/>
                <w:sz w:val="20"/>
                <w:szCs w:val="20"/>
              </w:rPr>
              <w:t>DEL PLAZO</w:t>
            </w:r>
          </w:p>
        </w:tc>
        <w:tc>
          <w:tcPr>
            <w:tcW w:w="10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22B2F1" w14:textId="77777777" w:rsidR="00F81C60" w:rsidRPr="00880F5F" w:rsidRDefault="00F81C60" w:rsidP="005C649D">
            <w:pPr>
              <w:jc w:val="both"/>
              <w:rPr>
                <w:rFonts w:ascii="Arial" w:hAnsi="Arial" w:cs="Arial"/>
                <w:b/>
                <w:bCs/>
                <w:sz w:val="20"/>
                <w:szCs w:val="20"/>
              </w:rPr>
            </w:pPr>
            <w:r w:rsidRPr="00880F5F">
              <w:rPr>
                <w:rFonts w:ascii="Arial" w:hAnsi="Arial" w:cs="Arial"/>
                <w:b/>
                <w:bCs/>
                <w:sz w:val="20"/>
                <w:szCs w:val="20"/>
              </w:rPr>
              <w:t>PRESENTACIÓN DE DEMANDA</w:t>
            </w:r>
          </w:p>
        </w:tc>
      </w:tr>
      <w:tr w:rsidR="00F81C60" w:rsidRPr="00880F5F" w14:paraId="6ACA22F0" w14:textId="77777777" w:rsidTr="00880F5F">
        <w:tc>
          <w:tcPr>
            <w:tcW w:w="1089" w:type="pct"/>
            <w:tcBorders>
              <w:top w:val="single" w:sz="4" w:space="0" w:color="auto"/>
              <w:left w:val="single" w:sz="4" w:space="0" w:color="auto"/>
              <w:bottom w:val="single" w:sz="4" w:space="0" w:color="auto"/>
              <w:right w:val="single" w:sz="4" w:space="0" w:color="auto"/>
            </w:tcBorders>
            <w:vAlign w:val="center"/>
            <w:hideMark/>
          </w:tcPr>
          <w:p w14:paraId="2A9AB5FB" w14:textId="77777777" w:rsidR="00F81C60" w:rsidRPr="00880F5F" w:rsidRDefault="003439E9" w:rsidP="00FC5A9B">
            <w:pPr>
              <w:jc w:val="center"/>
              <w:rPr>
                <w:rFonts w:ascii="Arial" w:hAnsi="Arial" w:cs="Arial"/>
                <w:sz w:val="20"/>
                <w:szCs w:val="20"/>
              </w:rPr>
            </w:pPr>
            <w:r w:rsidRPr="00880F5F">
              <w:rPr>
                <w:rFonts w:ascii="Arial" w:hAnsi="Arial" w:cs="Arial"/>
                <w:sz w:val="20"/>
                <w:szCs w:val="20"/>
              </w:rPr>
              <w:t xml:space="preserve">22 </w:t>
            </w:r>
            <w:r w:rsidR="00F81C60" w:rsidRPr="00880F5F">
              <w:rPr>
                <w:rFonts w:ascii="Arial" w:hAnsi="Arial" w:cs="Arial"/>
                <w:sz w:val="20"/>
                <w:szCs w:val="20"/>
              </w:rPr>
              <w:t>de</w:t>
            </w:r>
          </w:p>
          <w:p w14:paraId="0C442452" w14:textId="77777777" w:rsidR="00F81C60" w:rsidRPr="00880F5F" w:rsidRDefault="00297D4C" w:rsidP="00FC5A9B">
            <w:pPr>
              <w:jc w:val="center"/>
              <w:rPr>
                <w:rFonts w:ascii="Arial" w:hAnsi="Arial" w:cs="Arial"/>
                <w:sz w:val="20"/>
                <w:szCs w:val="20"/>
              </w:rPr>
            </w:pPr>
            <w:r w:rsidRPr="00880F5F">
              <w:rPr>
                <w:rFonts w:ascii="Arial" w:hAnsi="Arial" w:cs="Arial"/>
                <w:sz w:val="20"/>
                <w:szCs w:val="20"/>
              </w:rPr>
              <w:t>M</w:t>
            </w:r>
            <w:r w:rsidR="00F81C60" w:rsidRPr="00880F5F">
              <w:rPr>
                <w:rFonts w:ascii="Arial" w:hAnsi="Arial" w:cs="Arial"/>
                <w:sz w:val="20"/>
                <w:szCs w:val="20"/>
              </w:rPr>
              <w:t>arzo</w:t>
            </w:r>
          </w:p>
        </w:tc>
        <w:tc>
          <w:tcPr>
            <w:tcW w:w="794" w:type="pct"/>
            <w:tcBorders>
              <w:top w:val="single" w:sz="4" w:space="0" w:color="auto"/>
              <w:left w:val="single" w:sz="4" w:space="0" w:color="auto"/>
              <w:bottom w:val="single" w:sz="4" w:space="0" w:color="auto"/>
              <w:right w:val="single" w:sz="4" w:space="0" w:color="auto"/>
            </w:tcBorders>
            <w:vAlign w:val="center"/>
            <w:hideMark/>
          </w:tcPr>
          <w:p w14:paraId="2D3211DE" w14:textId="77777777" w:rsidR="00F81C60" w:rsidRPr="00880F5F" w:rsidRDefault="00FB5587" w:rsidP="00FC5A9B">
            <w:pPr>
              <w:jc w:val="center"/>
              <w:rPr>
                <w:rFonts w:ascii="Arial" w:hAnsi="Arial" w:cs="Arial"/>
                <w:sz w:val="20"/>
                <w:szCs w:val="20"/>
              </w:rPr>
            </w:pPr>
            <w:r w:rsidRPr="00880F5F">
              <w:rPr>
                <w:rFonts w:ascii="Arial" w:hAnsi="Arial" w:cs="Arial"/>
                <w:sz w:val="20"/>
                <w:szCs w:val="20"/>
              </w:rPr>
              <w:t>22</w:t>
            </w:r>
            <w:r w:rsidR="00F81C60" w:rsidRPr="00880F5F">
              <w:rPr>
                <w:rFonts w:ascii="Arial" w:hAnsi="Arial" w:cs="Arial"/>
                <w:sz w:val="20"/>
                <w:szCs w:val="20"/>
              </w:rPr>
              <w:t xml:space="preserve"> de </w:t>
            </w:r>
          </w:p>
          <w:p w14:paraId="74E42E56" w14:textId="77777777" w:rsidR="00F81C60" w:rsidRPr="00880F5F" w:rsidRDefault="00F81C60" w:rsidP="00FC5A9B">
            <w:pPr>
              <w:jc w:val="center"/>
              <w:rPr>
                <w:rFonts w:ascii="Arial" w:hAnsi="Arial" w:cs="Arial"/>
                <w:sz w:val="20"/>
                <w:szCs w:val="20"/>
              </w:rPr>
            </w:pPr>
            <w:r w:rsidRPr="00880F5F">
              <w:rPr>
                <w:rFonts w:ascii="Arial" w:hAnsi="Arial" w:cs="Arial"/>
                <w:sz w:val="20"/>
                <w:szCs w:val="20"/>
              </w:rPr>
              <w:t>marzo</w:t>
            </w:r>
          </w:p>
        </w:tc>
        <w:tc>
          <w:tcPr>
            <w:tcW w:w="1150" w:type="pct"/>
            <w:tcBorders>
              <w:top w:val="single" w:sz="4" w:space="0" w:color="auto"/>
              <w:left w:val="single" w:sz="4" w:space="0" w:color="auto"/>
              <w:bottom w:val="single" w:sz="4" w:space="0" w:color="auto"/>
              <w:right w:val="single" w:sz="4" w:space="0" w:color="auto"/>
            </w:tcBorders>
            <w:vAlign w:val="center"/>
            <w:hideMark/>
          </w:tcPr>
          <w:p w14:paraId="70D29E63" w14:textId="77777777" w:rsidR="00F81C60" w:rsidRPr="00880F5F" w:rsidRDefault="00FB5587" w:rsidP="00FB5587">
            <w:pPr>
              <w:jc w:val="center"/>
              <w:rPr>
                <w:rFonts w:ascii="Arial" w:hAnsi="Arial" w:cs="Arial"/>
                <w:sz w:val="20"/>
                <w:szCs w:val="20"/>
              </w:rPr>
            </w:pPr>
            <w:r w:rsidRPr="00880F5F">
              <w:rPr>
                <w:rFonts w:ascii="Arial" w:hAnsi="Arial" w:cs="Arial"/>
                <w:sz w:val="20"/>
                <w:szCs w:val="20"/>
              </w:rPr>
              <w:t>23, 24 y 25</w:t>
            </w:r>
            <w:r w:rsidR="00F81C60" w:rsidRPr="00880F5F">
              <w:rPr>
                <w:rFonts w:ascii="Arial" w:hAnsi="Arial" w:cs="Arial"/>
                <w:sz w:val="20"/>
                <w:szCs w:val="20"/>
              </w:rPr>
              <w:t>, todos de marzo</w:t>
            </w:r>
          </w:p>
        </w:tc>
        <w:tc>
          <w:tcPr>
            <w:tcW w:w="926" w:type="pct"/>
            <w:tcBorders>
              <w:top w:val="single" w:sz="4" w:space="0" w:color="auto"/>
              <w:left w:val="single" w:sz="4" w:space="0" w:color="auto"/>
              <w:bottom w:val="single" w:sz="4" w:space="0" w:color="auto"/>
              <w:right w:val="single" w:sz="4" w:space="0" w:color="auto"/>
            </w:tcBorders>
            <w:vAlign w:val="center"/>
            <w:hideMark/>
          </w:tcPr>
          <w:p w14:paraId="5B1333A0" w14:textId="77777777" w:rsidR="00F81C60" w:rsidRPr="00880F5F" w:rsidRDefault="00FB5587" w:rsidP="00FC5A9B">
            <w:pPr>
              <w:jc w:val="center"/>
              <w:rPr>
                <w:rFonts w:ascii="Arial" w:hAnsi="Arial" w:cs="Arial"/>
                <w:sz w:val="20"/>
                <w:szCs w:val="20"/>
              </w:rPr>
            </w:pPr>
            <w:r w:rsidRPr="00880F5F">
              <w:rPr>
                <w:rFonts w:ascii="Arial" w:hAnsi="Arial" w:cs="Arial"/>
                <w:sz w:val="20"/>
                <w:szCs w:val="20"/>
              </w:rPr>
              <w:t>25</w:t>
            </w:r>
          </w:p>
          <w:p w14:paraId="0AB05E1D" w14:textId="77777777" w:rsidR="00F81C60" w:rsidRPr="00880F5F" w:rsidRDefault="00F81C60" w:rsidP="00FC5A9B">
            <w:pPr>
              <w:jc w:val="center"/>
              <w:rPr>
                <w:rFonts w:ascii="Arial" w:hAnsi="Arial" w:cs="Arial"/>
                <w:sz w:val="20"/>
                <w:szCs w:val="20"/>
              </w:rPr>
            </w:pPr>
            <w:r w:rsidRPr="00880F5F">
              <w:rPr>
                <w:rFonts w:ascii="Arial" w:hAnsi="Arial" w:cs="Arial"/>
                <w:sz w:val="20"/>
                <w:szCs w:val="20"/>
              </w:rPr>
              <w:t>de marzo</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B1741F9" w14:textId="77777777" w:rsidR="00F81C60" w:rsidRPr="00880F5F" w:rsidRDefault="00FB5587" w:rsidP="00FC5A9B">
            <w:pPr>
              <w:jc w:val="center"/>
              <w:rPr>
                <w:rFonts w:ascii="Arial" w:hAnsi="Arial" w:cs="Arial"/>
                <w:sz w:val="20"/>
                <w:szCs w:val="20"/>
              </w:rPr>
            </w:pPr>
            <w:r w:rsidRPr="00880F5F">
              <w:rPr>
                <w:rFonts w:ascii="Arial" w:hAnsi="Arial" w:cs="Arial"/>
                <w:sz w:val="20"/>
                <w:szCs w:val="20"/>
              </w:rPr>
              <w:t>30</w:t>
            </w:r>
            <w:r w:rsidR="00F81C60" w:rsidRPr="00880F5F">
              <w:rPr>
                <w:rFonts w:ascii="Arial" w:hAnsi="Arial" w:cs="Arial"/>
                <w:sz w:val="20"/>
                <w:szCs w:val="20"/>
              </w:rPr>
              <w:t xml:space="preserve"> </w:t>
            </w:r>
          </w:p>
          <w:p w14:paraId="364AB337" w14:textId="77777777" w:rsidR="00F81C60" w:rsidRPr="00880F5F" w:rsidRDefault="00F81C60" w:rsidP="00FC5A9B">
            <w:pPr>
              <w:jc w:val="center"/>
              <w:rPr>
                <w:rFonts w:ascii="Arial" w:hAnsi="Arial" w:cs="Arial"/>
                <w:sz w:val="20"/>
                <w:szCs w:val="20"/>
              </w:rPr>
            </w:pPr>
            <w:r w:rsidRPr="00880F5F">
              <w:rPr>
                <w:rFonts w:ascii="Arial" w:hAnsi="Arial" w:cs="Arial"/>
                <w:sz w:val="20"/>
                <w:szCs w:val="20"/>
              </w:rPr>
              <w:t>de marzo</w:t>
            </w:r>
          </w:p>
        </w:tc>
      </w:tr>
    </w:tbl>
    <w:p w14:paraId="66A4432B" w14:textId="77777777" w:rsidR="00880F5F" w:rsidRDefault="00880F5F" w:rsidP="0030025C">
      <w:pPr>
        <w:spacing w:after="0"/>
        <w:jc w:val="both"/>
        <w:rPr>
          <w:rFonts w:ascii="Arial" w:eastAsia="Times New Roman" w:hAnsi="Arial" w:cs="Arial"/>
          <w:snapToGrid w:val="0"/>
          <w:spacing w:val="-3"/>
          <w:sz w:val="24"/>
          <w:szCs w:val="24"/>
          <w:lang w:val="es-ES" w:eastAsia="es-ES"/>
        </w:rPr>
      </w:pPr>
    </w:p>
    <w:p w14:paraId="7F1D6579" w14:textId="77777777" w:rsidR="00F81C60" w:rsidRPr="00880F5F" w:rsidRDefault="00F81C60" w:rsidP="0030025C">
      <w:pPr>
        <w:spacing w:after="0"/>
        <w:jc w:val="both"/>
        <w:rPr>
          <w:rFonts w:ascii="Arial" w:eastAsia="Times New Roman" w:hAnsi="Arial" w:cs="Arial"/>
          <w:bCs/>
          <w:sz w:val="24"/>
          <w:szCs w:val="24"/>
          <w:lang w:eastAsia="es-ES"/>
        </w:rPr>
      </w:pPr>
      <w:r w:rsidRPr="00880F5F">
        <w:rPr>
          <w:rFonts w:ascii="Arial" w:eastAsia="Times New Roman" w:hAnsi="Arial" w:cs="Arial"/>
          <w:snapToGrid w:val="0"/>
          <w:spacing w:val="-3"/>
          <w:sz w:val="24"/>
          <w:szCs w:val="24"/>
          <w:lang w:val="es-ES" w:eastAsia="es-ES"/>
        </w:rPr>
        <w:t xml:space="preserve">En esas condiciones, si el escrito </w:t>
      </w:r>
      <w:r w:rsidR="00683CA9" w:rsidRPr="00880F5F">
        <w:rPr>
          <w:rFonts w:ascii="Arial" w:eastAsia="Times New Roman" w:hAnsi="Arial" w:cs="Arial"/>
          <w:snapToGrid w:val="0"/>
          <w:spacing w:val="-3"/>
          <w:sz w:val="24"/>
          <w:szCs w:val="24"/>
          <w:lang w:val="es-ES" w:eastAsia="es-ES"/>
        </w:rPr>
        <w:t xml:space="preserve">de demanda se presentó </w:t>
      </w:r>
      <w:r w:rsidRPr="00880F5F">
        <w:rPr>
          <w:rFonts w:ascii="Arial" w:eastAsia="Times New Roman" w:hAnsi="Arial" w:cs="Arial"/>
          <w:sz w:val="24"/>
          <w:szCs w:val="24"/>
          <w:lang w:eastAsia="es-ES"/>
        </w:rPr>
        <w:t xml:space="preserve">el </w:t>
      </w:r>
      <w:r w:rsidR="00683CA9" w:rsidRPr="00880F5F">
        <w:rPr>
          <w:rFonts w:ascii="Arial" w:eastAsia="Times New Roman" w:hAnsi="Arial" w:cs="Arial"/>
          <w:b/>
          <w:bCs/>
          <w:sz w:val="24"/>
          <w:szCs w:val="24"/>
          <w:lang w:eastAsia="es-ES"/>
        </w:rPr>
        <w:t>treinta</w:t>
      </w:r>
      <w:r w:rsidRPr="00880F5F">
        <w:rPr>
          <w:rFonts w:ascii="Arial" w:eastAsia="Times New Roman" w:hAnsi="Arial" w:cs="Arial"/>
          <w:b/>
          <w:bCs/>
          <w:sz w:val="24"/>
          <w:szCs w:val="24"/>
          <w:lang w:eastAsia="es-ES"/>
        </w:rPr>
        <w:t xml:space="preserve"> de marzo</w:t>
      </w:r>
      <w:r w:rsidRPr="00880F5F">
        <w:rPr>
          <w:rFonts w:ascii="Arial" w:eastAsia="Times New Roman" w:hAnsi="Arial" w:cs="Arial"/>
          <w:sz w:val="24"/>
          <w:szCs w:val="24"/>
          <w:lang w:eastAsia="es-ES"/>
        </w:rPr>
        <w:t>; tal como se aprecia del acuse de recibo</w:t>
      </w:r>
      <w:r w:rsidRPr="00880F5F">
        <w:rPr>
          <w:rStyle w:val="Refdenotaalpie"/>
          <w:rFonts w:ascii="Arial" w:eastAsia="Times New Roman" w:hAnsi="Arial" w:cs="Arial"/>
          <w:sz w:val="24"/>
          <w:szCs w:val="24"/>
          <w:lang w:eastAsia="es-ES"/>
        </w:rPr>
        <w:footnoteReference w:id="4"/>
      </w:r>
      <w:r w:rsidRPr="00880F5F">
        <w:rPr>
          <w:rFonts w:ascii="Arial" w:eastAsia="Times New Roman" w:hAnsi="Arial" w:cs="Arial"/>
          <w:sz w:val="24"/>
          <w:szCs w:val="24"/>
          <w:lang w:eastAsia="es-ES"/>
        </w:rPr>
        <w:t xml:space="preserve">, </w:t>
      </w:r>
      <w:r w:rsidRPr="00880F5F">
        <w:rPr>
          <w:rFonts w:ascii="Arial" w:hAnsi="Arial" w:cs="Arial"/>
          <w:sz w:val="24"/>
          <w:szCs w:val="24"/>
        </w:rPr>
        <w:t xml:space="preserve">resulta </w:t>
      </w:r>
      <w:r w:rsidRPr="00880F5F">
        <w:rPr>
          <w:rFonts w:ascii="Arial" w:eastAsia="Times New Roman" w:hAnsi="Arial" w:cs="Arial"/>
          <w:snapToGrid w:val="0"/>
          <w:spacing w:val="-3"/>
          <w:sz w:val="24"/>
          <w:szCs w:val="24"/>
          <w:lang w:val="es-ES" w:eastAsia="es-ES"/>
        </w:rPr>
        <w:t>evidente la extemporaneidad en la presentación del mismo.</w:t>
      </w:r>
    </w:p>
    <w:p w14:paraId="25CACAC5" w14:textId="77777777" w:rsidR="00F81C60" w:rsidRPr="00880F5F" w:rsidRDefault="00F81C60" w:rsidP="0030025C">
      <w:pPr>
        <w:pStyle w:val="Prrafodelista"/>
        <w:spacing w:after="0"/>
        <w:ind w:left="0"/>
        <w:rPr>
          <w:rFonts w:ascii="Arial" w:eastAsia="Times New Roman" w:hAnsi="Arial" w:cs="Arial"/>
          <w:bCs/>
          <w:sz w:val="24"/>
          <w:szCs w:val="24"/>
          <w:lang w:eastAsia="es-ES"/>
        </w:rPr>
      </w:pPr>
    </w:p>
    <w:p w14:paraId="6FD1AC20" w14:textId="77777777" w:rsidR="00F81C60" w:rsidRPr="00880F5F" w:rsidRDefault="00F81C60" w:rsidP="0030025C">
      <w:pPr>
        <w:spacing w:after="0"/>
        <w:jc w:val="both"/>
        <w:rPr>
          <w:rFonts w:ascii="Arial" w:hAnsi="Arial" w:cs="Arial"/>
          <w:sz w:val="24"/>
          <w:szCs w:val="24"/>
        </w:rPr>
      </w:pPr>
      <w:bookmarkStart w:id="0" w:name="_Toc59637477"/>
      <w:r w:rsidRPr="00880F5F">
        <w:rPr>
          <w:rFonts w:ascii="Arial" w:hAnsi="Arial" w:cs="Arial"/>
          <w:sz w:val="24"/>
          <w:szCs w:val="24"/>
        </w:rPr>
        <w:t xml:space="preserve">Por lo expuesto, es que este órgano colegiado considera, </w:t>
      </w:r>
      <w:r w:rsidRPr="00880F5F">
        <w:rPr>
          <w:rFonts w:ascii="Arial" w:hAnsi="Arial" w:cs="Arial"/>
          <w:b/>
          <w:bCs/>
          <w:sz w:val="24"/>
          <w:szCs w:val="24"/>
        </w:rPr>
        <w:t>desechar el medio de impugnación presentado</w:t>
      </w:r>
      <w:r w:rsidRPr="00880F5F">
        <w:rPr>
          <w:rFonts w:ascii="Arial" w:hAnsi="Arial" w:cs="Arial"/>
          <w:sz w:val="24"/>
          <w:szCs w:val="24"/>
        </w:rPr>
        <w:t xml:space="preserve">, al actualizarse la </w:t>
      </w:r>
      <w:r w:rsidRPr="00880F5F">
        <w:rPr>
          <w:rFonts w:ascii="Arial" w:hAnsi="Arial" w:cs="Arial"/>
          <w:b/>
          <w:sz w:val="24"/>
          <w:szCs w:val="24"/>
        </w:rPr>
        <w:t>causal de improcedencia</w:t>
      </w:r>
      <w:r w:rsidRPr="00880F5F">
        <w:rPr>
          <w:rFonts w:ascii="Arial" w:hAnsi="Arial" w:cs="Arial"/>
          <w:sz w:val="24"/>
          <w:szCs w:val="24"/>
        </w:rPr>
        <w:t xml:space="preserve"> establecida en el artículo 509, primer párrafo, fracción IV, en relación con el 508 párrafo primero, fracción III, ambos del Código Electoral.</w:t>
      </w:r>
    </w:p>
    <w:p w14:paraId="59C5292E" w14:textId="77777777" w:rsidR="00F81C60" w:rsidRPr="00880F5F" w:rsidRDefault="00F81C60" w:rsidP="0030025C">
      <w:pPr>
        <w:widowControl w:val="0"/>
        <w:spacing w:after="0"/>
        <w:contextualSpacing/>
        <w:jc w:val="both"/>
        <w:outlineLvl w:val="1"/>
        <w:rPr>
          <w:rFonts w:ascii="Arial" w:eastAsia="Arial Unicode MS" w:hAnsi="Arial" w:cs="Arial"/>
          <w:color w:val="000000"/>
          <w:sz w:val="24"/>
          <w:szCs w:val="24"/>
          <w:lang w:eastAsia="es-MX"/>
        </w:rPr>
      </w:pPr>
    </w:p>
    <w:p w14:paraId="7BC9B6BA" w14:textId="76D360CB" w:rsidR="00F81C60" w:rsidRPr="00880F5F" w:rsidRDefault="00F81C60" w:rsidP="0030025C">
      <w:pPr>
        <w:widowControl w:val="0"/>
        <w:spacing w:after="0"/>
        <w:contextualSpacing/>
        <w:jc w:val="both"/>
        <w:outlineLvl w:val="1"/>
        <w:rPr>
          <w:rFonts w:ascii="Arial" w:eastAsia="Arial Unicode MS" w:hAnsi="Arial" w:cs="Arial"/>
          <w:color w:val="000000"/>
          <w:sz w:val="24"/>
          <w:szCs w:val="24"/>
          <w:lang w:eastAsia="es-MX"/>
        </w:rPr>
      </w:pPr>
      <w:r w:rsidRPr="00880F5F">
        <w:rPr>
          <w:rFonts w:ascii="Arial" w:eastAsia="Times New Roman" w:hAnsi="Arial" w:cs="Arial"/>
          <w:snapToGrid w:val="0"/>
          <w:spacing w:val="-3"/>
          <w:sz w:val="24"/>
          <w:szCs w:val="24"/>
          <w:lang w:eastAsia="es-ES"/>
        </w:rPr>
        <w:t xml:space="preserve">Por lo expuesto en la presente resolución </w:t>
      </w:r>
      <w:r w:rsidRPr="00880F5F">
        <w:rPr>
          <w:rFonts w:ascii="Arial" w:hAnsi="Arial" w:cs="Arial"/>
          <w:sz w:val="24"/>
          <w:szCs w:val="24"/>
          <w:lang w:val="es-ES" w:eastAsia="es-ES"/>
        </w:rPr>
        <w:t xml:space="preserve">se resuelve conforme a los siguientes: </w:t>
      </w:r>
    </w:p>
    <w:p w14:paraId="047408CB" w14:textId="77777777" w:rsidR="00F81C60" w:rsidRPr="00880F5F" w:rsidRDefault="00F81C60" w:rsidP="0030025C">
      <w:pPr>
        <w:widowControl w:val="0"/>
        <w:spacing w:after="0"/>
        <w:contextualSpacing/>
        <w:jc w:val="both"/>
        <w:outlineLvl w:val="1"/>
        <w:rPr>
          <w:rFonts w:ascii="Arial" w:eastAsia="Arial Unicode MS" w:hAnsi="Arial" w:cs="Arial"/>
          <w:color w:val="000000"/>
          <w:sz w:val="24"/>
          <w:szCs w:val="24"/>
          <w:lang w:eastAsia="es-MX"/>
        </w:rPr>
      </w:pPr>
    </w:p>
    <w:p w14:paraId="7281F3BD" w14:textId="77777777" w:rsidR="00F81C60" w:rsidRPr="00880F5F" w:rsidRDefault="00F81C60" w:rsidP="00D42408">
      <w:pPr>
        <w:keepNext/>
        <w:keepLines/>
        <w:spacing w:after="0"/>
        <w:jc w:val="center"/>
        <w:outlineLvl w:val="0"/>
        <w:rPr>
          <w:rFonts w:ascii="Arial" w:hAnsi="Arial" w:cs="Arial"/>
          <w:b/>
          <w:spacing w:val="21"/>
          <w:sz w:val="24"/>
          <w:szCs w:val="24"/>
        </w:rPr>
      </w:pPr>
      <w:bookmarkStart w:id="1" w:name="bookmark5"/>
      <w:bookmarkStart w:id="2" w:name="_Toc59637479"/>
      <w:bookmarkEnd w:id="0"/>
      <w:r w:rsidRPr="00880F5F">
        <w:rPr>
          <w:rFonts w:ascii="Arial" w:hAnsi="Arial" w:cs="Arial"/>
          <w:b/>
          <w:spacing w:val="21"/>
          <w:sz w:val="24"/>
          <w:szCs w:val="24"/>
        </w:rPr>
        <w:t>R E S O L U T I V O S</w:t>
      </w:r>
      <w:bookmarkEnd w:id="1"/>
      <w:bookmarkEnd w:id="2"/>
    </w:p>
    <w:p w14:paraId="7E708900" w14:textId="77777777" w:rsidR="00F81C60" w:rsidRPr="00880F5F" w:rsidRDefault="00F81C60" w:rsidP="00D42408">
      <w:pPr>
        <w:keepNext/>
        <w:keepLines/>
        <w:spacing w:after="0"/>
        <w:jc w:val="both"/>
        <w:rPr>
          <w:rFonts w:ascii="Arial" w:hAnsi="Arial" w:cs="Arial"/>
          <w:spacing w:val="21"/>
          <w:sz w:val="24"/>
          <w:szCs w:val="24"/>
        </w:rPr>
      </w:pPr>
    </w:p>
    <w:p w14:paraId="3E44C235" w14:textId="54171FA2" w:rsidR="00F81C60" w:rsidRPr="00880F5F" w:rsidRDefault="00F81C60" w:rsidP="00D42408">
      <w:pPr>
        <w:spacing w:after="0"/>
        <w:jc w:val="both"/>
        <w:rPr>
          <w:rFonts w:ascii="Arial" w:eastAsia="Times New Roman" w:hAnsi="Arial" w:cs="Arial"/>
          <w:sz w:val="24"/>
          <w:szCs w:val="24"/>
          <w:lang w:eastAsia="es-ES"/>
        </w:rPr>
      </w:pPr>
      <w:r w:rsidRPr="00880F5F">
        <w:rPr>
          <w:rFonts w:ascii="Arial" w:hAnsi="Arial" w:cs="Arial"/>
          <w:b/>
          <w:sz w:val="24"/>
          <w:szCs w:val="24"/>
        </w:rPr>
        <w:t>PRIMERO.</w:t>
      </w:r>
      <w:r w:rsidRPr="00880F5F">
        <w:rPr>
          <w:rFonts w:ascii="Arial" w:hAnsi="Arial" w:cs="Arial"/>
          <w:sz w:val="24"/>
          <w:szCs w:val="24"/>
        </w:rPr>
        <w:t xml:space="preserve"> </w:t>
      </w:r>
      <w:r w:rsidR="0030025C" w:rsidRPr="00880F5F">
        <w:rPr>
          <w:rFonts w:ascii="Arial" w:hAnsi="Arial" w:cs="Arial"/>
          <w:bCs/>
          <w:sz w:val="24"/>
          <w:szCs w:val="24"/>
        </w:rPr>
        <w:t xml:space="preserve">Se </w:t>
      </w:r>
      <w:r w:rsidR="0030025C" w:rsidRPr="00880F5F">
        <w:rPr>
          <w:rFonts w:ascii="Arial" w:hAnsi="Arial" w:cs="Arial"/>
          <w:b/>
          <w:sz w:val="24"/>
          <w:szCs w:val="24"/>
        </w:rPr>
        <w:t>desecha</w:t>
      </w:r>
      <w:r w:rsidR="0030025C" w:rsidRPr="00880F5F">
        <w:rPr>
          <w:rFonts w:ascii="Arial" w:hAnsi="Arial" w:cs="Arial"/>
          <w:sz w:val="24"/>
          <w:szCs w:val="24"/>
        </w:rPr>
        <w:t xml:space="preserve">, </w:t>
      </w:r>
      <w:r w:rsidR="0030025C" w:rsidRPr="00880F5F">
        <w:rPr>
          <w:rFonts w:ascii="Arial" w:eastAsia="Times New Roman" w:hAnsi="Arial" w:cs="Arial"/>
          <w:sz w:val="24"/>
          <w:szCs w:val="24"/>
          <w:lang w:eastAsia="es-ES"/>
        </w:rPr>
        <w:t>el recurso de revisión, por los motivos expresados en la presente resolución.</w:t>
      </w:r>
    </w:p>
    <w:p w14:paraId="6EDB32CF" w14:textId="77777777" w:rsidR="00221BCD" w:rsidRPr="00880F5F" w:rsidRDefault="00221BCD" w:rsidP="00D42408">
      <w:pPr>
        <w:spacing w:after="0"/>
        <w:jc w:val="both"/>
        <w:rPr>
          <w:rFonts w:ascii="Arial" w:hAnsi="Arial" w:cs="Arial"/>
          <w:sz w:val="24"/>
          <w:szCs w:val="24"/>
        </w:rPr>
      </w:pPr>
    </w:p>
    <w:p w14:paraId="6A391AF2" w14:textId="77777777" w:rsidR="00F81C60" w:rsidRPr="00880F5F" w:rsidRDefault="00F81C60" w:rsidP="00D42408">
      <w:pPr>
        <w:spacing w:after="0"/>
        <w:jc w:val="both"/>
        <w:rPr>
          <w:rFonts w:ascii="Arial" w:eastAsia="Times New Roman" w:hAnsi="Arial" w:cs="Arial"/>
          <w:sz w:val="24"/>
          <w:szCs w:val="24"/>
          <w:lang w:eastAsia="es-ES"/>
        </w:rPr>
      </w:pPr>
      <w:r w:rsidRPr="00880F5F">
        <w:rPr>
          <w:rFonts w:ascii="Arial" w:hAnsi="Arial" w:cs="Arial"/>
          <w:b/>
          <w:sz w:val="24"/>
          <w:szCs w:val="24"/>
        </w:rPr>
        <w:t>SEGUNDO</w:t>
      </w:r>
      <w:r w:rsidRPr="00880F5F">
        <w:rPr>
          <w:rFonts w:ascii="Arial" w:hAnsi="Arial" w:cs="Arial"/>
          <w:sz w:val="24"/>
          <w:szCs w:val="24"/>
        </w:rPr>
        <w:t xml:space="preserve">. </w:t>
      </w:r>
      <w:r w:rsidR="006D0E65" w:rsidRPr="00880F5F">
        <w:rPr>
          <w:rFonts w:ascii="Arial" w:hAnsi="Arial" w:cs="Arial"/>
          <w:b/>
          <w:sz w:val="24"/>
          <w:szCs w:val="24"/>
        </w:rPr>
        <w:t>Infórmese</w:t>
      </w:r>
      <w:r w:rsidR="006D0E65" w:rsidRPr="00880F5F">
        <w:rPr>
          <w:rFonts w:ascii="Arial" w:hAnsi="Arial" w:cs="Arial"/>
          <w:sz w:val="24"/>
          <w:szCs w:val="24"/>
        </w:rPr>
        <w:t xml:space="preserve"> al Tribunal Electoral del Estado de Jalisco, </w:t>
      </w:r>
      <w:r w:rsidR="00D42408" w:rsidRPr="00880F5F">
        <w:rPr>
          <w:rFonts w:ascii="Arial" w:eastAsia="Arial" w:hAnsi="Arial" w:cs="Arial"/>
          <w:color w:val="000000"/>
          <w:sz w:val="24"/>
          <w:szCs w:val="24"/>
        </w:rPr>
        <w:t xml:space="preserve">del cumplimiento recaído al expediente RAP-008/2022. </w:t>
      </w:r>
    </w:p>
    <w:p w14:paraId="2BCB978C" w14:textId="77777777" w:rsidR="00F81C60" w:rsidRPr="00880F5F" w:rsidRDefault="00F81C60" w:rsidP="00F81C60">
      <w:pPr>
        <w:widowControl w:val="0"/>
        <w:spacing w:after="0" w:line="360" w:lineRule="auto"/>
        <w:jc w:val="both"/>
        <w:rPr>
          <w:rFonts w:ascii="Arial" w:hAnsi="Arial" w:cs="Arial"/>
          <w:sz w:val="28"/>
          <w:szCs w:val="28"/>
        </w:rPr>
      </w:pPr>
    </w:p>
    <w:p w14:paraId="3C81A356" w14:textId="726B66D0" w:rsidR="00F81C60" w:rsidRPr="00880F5F" w:rsidRDefault="00F81C60" w:rsidP="00D42408">
      <w:pPr>
        <w:spacing w:after="0"/>
        <w:jc w:val="both"/>
        <w:rPr>
          <w:rFonts w:ascii="Arial" w:hAnsi="Arial" w:cs="Arial"/>
          <w:sz w:val="24"/>
          <w:szCs w:val="24"/>
          <w:lang w:eastAsia="es-ES"/>
        </w:rPr>
      </w:pPr>
      <w:r w:rsidRPr="00880F5F">
        <w:rPr>
          <w:rFonts w:ascii="Arial" w:hAnsi="Arial" w:cs="Arial"/>
          <w:b/>
          <w:sz w:val="24"/>
          <w:szCs w:val="24"/>
          <w:lang w:eastAsia="es-ES"/>
        </w:rPr>
        <w:t>Notifíquese</w:t>
      </w:r>
      <w:r w:rsidRPr="00880F5F">
        <w:rPr>
          <w:rFonts w:ascii="Arial" w:hAnsi="Arial" w:cs="Arial"/>
          <w:sz w:val="24"/>
          <w:szCs w:val="24"/>
          <w:lang w:eastAsia="es-ES"/>
        </w:rPr>
        <w:t xml:space="preserve"> la presente </w:t>
      </w:r>
      <w:r w:rsidR="00E64063" w:rsidRPr="00880F5F">
        <w:rPr>
          <w:rFonts w:ascii="Arial" w:hAnsi="Arial" w:cs="Arial"/>
          <w:sz w:val="24"/>
          <w:szCs w:val="24"/>
          <w:lang w:eastAsia="es-ES"/>
        </w:rPr>
        <w:t>resolución</w:t>
      </w:r>
      <w:r w:rsidRPr="00880F5F">
        <w:rPr>
          <w:rFonts w:ascii="Arial" w:hAnsi="Arial" w:cs="Arial"/>
          <w:sz w:val="24"/>
          <w:szCs w:val="24"/>
          <w:lang w:eastAsia="es-ES"/>
        </w:rPr>
        <w:t xml:space="preserve"> en los términos de ley; en su oportunidad, </w:t>
      </w:r>
      <w:r w:rsidRPr="00880F5F">
        <w:rPr>
          <w:rFonts w:ascii="Arial" w:hAnsi="Arial" w:cs="Arial"/>
          <w:b/>
          <w:sz w:val="24"/>
          <w:szCs w:val="24"/>
          <w:lang w:eastAsia="es-ES"/>
        </w:rPr>
        <w:t>archívese</w:t>
      </w:r>
      <w:r w:rsidRPr="00880F5F">
        <w:rPr>
          <w:rFonts w:ascii="Arial" w:hAnsi="Arial" w:cs="Arial"/>
          <w:sz w:val="24"/>
          <w:szCs w:val="24"/>
          <w:lang w:eastAsia="es-ES"/>
        </w:rPr>
        <w:t xml:space="preserve"> el expediente como asunto concluido.</w:t>
      </w:r>
    </w:p>
    <w:p w14:paraId="061AF4F4" w14:textId="77777777" w:rsidR="000F3649" w:rsidRPr="00880F5F" w:rsidRDefault="000F3649" w:rsidP="000F3649">
      <w:pPr>
        <w:pStyle w:val="Sinespaciado"/>
        <w:spacing w:line="276" w:lineRule="auto"/>
        <w:jc w:val="both"/>
        <w:rPr>
          <w:rFonts w:ascii="Arial" w:eastAsiaTheme="minorEastAsia" w:hAnsi="Arial" w:cs="Arial"/>
          <w:sz w:val="24"/>
          <w:szCs w:val="24"/>
          <w:lang w:eastAsia="es-MX"/>
        </w:rPr>
      </w:pPr>
    </w:p>
    <w:p w14:paraId="5333F228" w14:textId="674D8985" w:rsidR="00E03D2E" w:rsidRPr="00880F5F" w:rsidRDefault="00E03D2E" w:rsidP="000F3649">
      <w:pPr>
        <w:pStyle w:val="Sinespaciado"/>
        <w:spacing w:line="276" w:lineRule="auto"/>
        <w:jc w:val="center"/>
        <w:rPr>
          <w:rFonts w:ascii="Arial" w:eastAsiaTheme="minorEastAsia" w:hAnsi="Arial" w:cs="Arial"/>
          <w:b/>
          <w:kern w:val="18"/>
          <w:sz w:val="24"/>
          <w:szCs w:val="24"/>
          <w:lang w:eastAsia="es-MX"/>
        </w:rPr>
      </w:pPr>
      <w:r w:rsidRPr="00880F5F">
        <w:rPr>
          <w:rFonts w:ascii="Arial" w:eastAsiaTheme="minorEastAsia" w:hAnsi="Arial" w:cs="Arial"/>
          <w:b/>
          <w:kern w:val="18"/>
          <w:sz w:val="24"/>
          <w:szCs w:val="24"/>
          <w:lang w:eastAsia="es-MX"/>
        </w:rPr>
        <w:t xml:space="preserve">Guadalajara, Jalisco, </w:t>
      </w:r>
      <w:r w:rsidR="009F2A7F" w:rsidRPr="00880F5F">
        <w:rPr>
          <w:rFonts w:ascii="Arial" w:eastAsiaTheme="minorEastAsia" w:hAnsi="Arial" w:cs="Arial"/>
          <w:b/>
          <w:kern w:val="18"/>
          <w:sz w:val="24"/>
          <w:szCs w:val="24"/>
          <w:lang w:eastAsia="es-MX"/>
        </w:rPr>
        <w:t xml:space="preserve">a 26 </w:t>
      </w:r>
      <w:r w:rsidRPr="00880F5F">
        <w:rPr>
          <w:rFonts w:ascii="Arial" w:eastAsiaTheme="minorEastAsia" w:hAnsi="Arial" w:cs="Arial"/>
          <w:b/>
          <w:kern w:val="18"/>
          <w:sz w:val="24"/>
          <w:szCs w:val="24"/>
          <w:lang w:eastAsia="es-MX"/>
        </w:rPr>
        <w:t>de</w:t>
      </w:r>
      <w:r w:rsidR="003F7346" w:rsidRPr="00880F5F">
        <w:rPr>
          <w:rFonts w:ascii="Arial" w:eastAsiaTheme="minorEastAsia" w:hAnsi="Arial" w:cs="Arial"/>
          <w:b/>
          <w:kern w:val="18"/>
          <w:sz w:val="24"/>
          <w:szCs w:val="24"/>
          <w:lang w:eastAsia="es-MX"/>
        </w:rPr>
        <w:t xml:space="preserve"> agosto</w:t>
      </w:r>
      <w:r w:rsidRPr="00880F5F">
        <w:rPr>
          <w:rFonts w:ascii="Arial" w:eastAsiaTheme="minorEastAsia" w:hAnsi="Arial" w:cs="Arial"/>
          <w:b/>
          <w:kern w:val="18"/>
          <w:sz w:val="24"/>
          <w:szCs w:val="24"/>
          <w:lang w:eastAsia="es-MX"/>
        </w:rPr>
        <w:t xml:space="preserve"> de 20</w:t>
      </w:r>
      <w:r w:rsidR="003F7346" w:rsidRPr="00880F5F">
        <w:rPr>
          <w:rFonts w:ascii="Arial" w:eastAsiaTheme="minorEastAsia" w:hAnsi="Arial" w:cs="Arial"/>
          <w:b/>
          <w:kern w:val="18"/>
          <w:sz w:val="24"/>
          <w:szCs w:val="24"/>
          <w:lang w:eastAsia="es-MX"/>
        </w:rPr>
        <w:t>22</w:t>
      </w:r>
      <w:r w:rsidRPr="00880F5F">
        <w:rPr>
          <w:rFonts w:ascii="Arial" w:eastAsiaTheme="minorEastAsia" w:hAnsi="Arial" w:cs="Arial"/>
          <w:b/>
          <w:kern w:val="18"/>
          <w:sz w:val="24"/>
          <w:szCs w:val="24"/>
          <w:lang w:eastAsia="es-MX"/>
        </w:rPr>
        <w:t>.</w:t>
      </w:r>
    </w:p>
    <w:p w14:paraId="0ADDC73F" w14:textId="77777777" w:rsidR="00E03D2E" w:rsidRPr="00880F5F" w:rsidRDefault="00E03D2E" w:rsidP="000F3649">
      <w:pPr>
        <w:pStyle w:val="Sinespaciado"/>
        <w:spacing w:line="276" w:lineRule="auto"/>
        <w:jc w:val="both"/>
        <w:rPr>
          <w:rFonts w:ascii="Arial" w:eastAsiaTheme="minorEastAsia" w:hAnsi="Arial" w:cs="Arial"/>
          <w:kern w:val="18"/>
          <w:sz w:val="24"/>
          <w:szCs w:val="24"/>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53F51" w:rsidRPr="00880F5F" w14:paraId="6A7E4CCC" w14:textId="77777777" w:rsidTr="00C9524A">
        <w:tc>
          <w:tcPr>
            <w:tcW w:w="4527" w:type="dxa"/>
          </w:tcPr>
          <w:p w14:paraId="417F5B86" w14:textId="77777777" w:rsidR="00A53F51" w:rsidRPr="00880F5F" w:rsidRDefault="00A53F51" w:rsidP="00C9524A">
            <w:pPr>
              <w:shd w:val="clear" w:color="auto" w:fill="FFFFFF"/>
              <w:jc w:val="center"/>
              <w:rPr>
                <w:rFonts w:ascii="Arial" w:eastAsia="Trebuchet MS" w:hAnsi="Arial" w:cs="Arial"/>
                <w:b/>
                <w:sz w:val="24"/>
                <w:szCs w:val="24"/>
              </w:rPr>
            </w:pPr>
          </w:p>
          <w:p w14:paraId="4DE707DC" w14:textId="77777777" w:rsidR="00A53F51" w:rsidRPr="00880F5F" w:rsidRDefault="00A53F51" w:rsidP="00C9524A">
            <w:pPr>
              <w:shd w:val="clear" w:color="auto" w:fill="FFFFFF"/>
              <w:jc w:val="center"/>
              <w:rPr>
                <w:rFonts w:ascii="Arial" w:eastAsia="Trebuchet MS" w:hAnsi="Arial" w:cs="Arial"/>
                <w:b/>
                <w:sz w:val="24"/>
                <w:szCs w:val="24"/>
              </w:rPr>
            </w:pPr>
          </w:p>
          <w:p w14:paraId="33255724" w14:textId="77777777" w:rsidR="00A53F51" w:rsidRPr="00880F5F" w:rsidRDefault="00A53F51" w:rsidP="00C9524A">
            <w:pPr>
              <w:shd w:val="clear" w:color="auto" w:fill="FFFFFF"/>
              <w:jc w:val="center"/>
              <w:rPr>
                <w:rFonts w:ascii="Arial" w:eastAsia="Trebuchet MS" w:hAnsi="Arial" w:cs="Arial"/>
                <w:b/>
                <w:sz w:val="24"/>
                <w:szCs w:val="24"/>
              </w:rPr>
            </w:pPr>
          </w:p>
          <w:p w14:paraId="3A8CE036" w14:textId="77777777" w:rsidR="00A53F51" w:rsidRPr="00880F5F" w:rsidRDefault="00A53F51" w:rsidP="00C9524A">
            <w:pPr>
              <w:shd w:val="clear" w:color="auto" w:fill="FFFFFF"/>
              <w:jc w:val="center"/>
              <w:rPr>
                <w:rFonts w:ascii="Arial" w:eastAsia="Trebuchet MS" w:hAnsi="Arial" w:cs="Arial"/>
                <w:b/>
                <w:sz w:val="24"/>
                <w:szCs w:val="24"/>
              </w:rPr>
            </w:pPr>
            <w:r w:rsidRPr="00880F5F">
              <w:rPr>
                <w:rFonts w:ascii="Arial" w:eastAsia="Trebuchet MS" w:hAnsi="Arial" w:cs="Arial"/>
                <w:b/>
                <w:sz w:val="24"/>
                <w:szCs w:val="24"/>
              </w:rPr>
              <w:t>Mtra. Paula Ramírez Höhne</w:t>
            </w:r>
          </w:p>
          <w:p w14:paraId="4982532E" w14:textId="661E18C7" w:rsidR="00A53F51" w:rsidRPr="00880F5F" w:rsidRDefault="009F2A7F" w:rsidP="00C9524A">
            <w:pPr>
              <w:shd w:val="clear" w:color="auto" w:fill="FFFFFF"/>
              <w:jc w:val="center"/>
              <w:rPr>
                <w:rFonts w:ascii="Arial" w:eastAsia="Trebuchet MS" w:hAnsi="Arial" w:cs="Arial"/>
                <w:b/>
                <w:sz w:val="24"/>
                <w:szCs w:val="24"/>
              </w:rPr>
            </w:pPr>
            <w:r w:rsidRPr="00880F5F">
              <w:rPr>
                <w:rFonts w:ascii="Arial" w:eastAsia="Trebuchet MS" w:hAnsi="Arial" w:cs="Arial"/>
                <w:b/>
                <w:sz w:val="24"/>
                <w:szCs w:val="24"/>
              </w:rPr>
              <w:t>La c</w:t>
            </w:r>
            <w:r w:rsidR="00A53F51" w:rsidRPr="00880F5F">
              <w:rPr>
                <w:rFonts w:ascii="Arial" w:eastAsia="Trebuchet MS" w:hAnsi="Arial" w:cs="Arial"/>
                <w:b/>
                <w:sz w:val="24"/>
                <w:szCs w:val="24"/>
              </w:rPr>
              <w:t xml:space="preserve">onsejera </w:t>
            </w:r>
            <w:r w:rsidRPr="00880F5F">
              <w:rPr>
                <w:rFonts w:ascii="Arial" w:eastAsia="Trebuchet MS" w:hAnsi="Arial" w:cs="Arial"/>
                <w:b/>
                <w:sz w:val="24"/>
                <w:szCs w:val="24"/>
              </w:rPr>
              <w:t>p</w:t>
            </w:r>
            <w:r w:rsidR="00A53F51" w:rsidRPr="00880F5F">
              <w:rPr>
                <w:rFonts w:ascii="Arial" w:eastAsia="Trebuchet MS" w:hAnsi="Arial" w:cs="Arial"/>
                <w:b/>
                <w:sz w:val="24"/>
                <w:szCs w:val="24"/>
              </w:rPr>
              <w:t>residenta</w:t>
            </w:r>
          </w:p>
          <w:p w14:paraId="27BDE434" w14:textId="77777777" w:rsidR="00A53F51" w:rsidRPr="00880F5F" w:rsidRDefault="00A53F51" w:rsidP="00C9524A">
            <w:pPr>
              <w:jc w:val="center"/>
              <w:rPr>
                <w:rFonts w:ascii="Arial" w:eastAsia="Trebuchet MS" w:hAnsi="Arial" w:cs="Arial"/>
                <w:b/>
                <w:sz w:val="24"/>
                <w:szCs w:val="24"/>
              </w:rPr>
            </w:pPr>
          </w:p>
          <w:p w14:paraId="3AE86639" w14:textId="77777777" w:rsidR="00A53F51" w:rsidRPr="00880F5F" w:rsidRDefault="00A53F51" w:rsidP="00C9524A">
            <w:pPr>
              <w:jc w:val="center"/>
              <w:rPr>
                <w:rFonts w:ascii="Arial" w:eastAsia="Trebuchet MS" w:hAnsi="Arial" w:cs="Arial"/>
                <w:b/>
                <w:sz w:val="24"/>
                <w:szCs w:val="24"/>
              </w:rPr>
            </w:pPr>
            <w:bookmarkStart w:id="3" w:name="_GoBack"/>
            <w:bookmarkEnd w:id="3"/>
          </w:p>
          <w:p w14:paraId="00A66F8E" w14:textId="77777777" w:rsidR="00A53F51" w:rsidRPr="00880F5F" w:rsidRDefault="00A53F51" w:rsidP="00C9524A">
            <w:pPr>
              <w:jc w:val="center"/>
              <w:rPr>
                <w:rFonts w:ascii="Arial" w:eastAsia="Trebuchet MS" w:hAnsi="Arial" w:cs="Arial"/>
                <w:b/>
                <w:sz w:val="24"/>
                <w:szCs w:val="24"/>
              </w:rPr>
            </w:pPr>
          </w:p>
        </w:tc>
        <w:tc>
          <w:tcPr>
            <w:tcW w:w="4527" w:type="dxa"/>
          </w:tcPr>
          <w:p w14:paraId="0C123BB5" w14:textId="77777777" w:rsidR="00A53F51" w:rsidRPr="00880F5F" w:rsidRDefault="00A53F51" w:rsidP="00C9524A">
            <w:pPr>
              <w:shd w:val="clear" w:color="auto" w:fill="FFFFFF"/>
              <w:jc w:val="center"/>
              <w:rPr>
                <w:rFonts w:ascii="Arial" w:eastAsia="Trebuchet MS" w:hAnsi="Arial" w:cs="Arial"/>
                <w:b/>
                <w:sz w:val="24"/>
                <w:szCs w:val="24"/>
              </w:rPr>
            </w:pPr>
          </w:p>
          <w:p w14:paraId="32894D2C" w14:textId="77777777" w:rsidR="00A53F51" w:rsidRPr="00880F5F" w:rsidRDefault="00A53F51" w:rsidP="00C9524A">
            <w:pPr>
              <w:shd w:val="clear" w:color="auto" w:fill="FFFFFF"/>
              <w:jc w:val="center"/>
              <w:rPr>
                <w:rFonts w:ascii="Arial" w:eastAsia="Trebuchet MS" w:hAnsi="Arial" w:cs="Arial"/>
                <w:b/>
                <w:sz w:val="24"/>
                <w:szCs w:val="24"/>
              </w:rPr>
            </w:pPr>
          </w:p>
          <w:p w14:paraId="5065BC62" w14:textId="77777777" w:rsidR="00A53F51" w:rsidRPr="00880F5F" w:rsidRDefault="00A53F51" w:rsidP="00C9524A">
            <w:pPr>
              <w:shd w:val="clear" w:color="auto" w:fill="FFFFFF"/>
              <w:jc w:val="center"/>
              <w:rPr>
                <w:rFonts w:ascii="Arial" w:eastAsia="Trebuchet MS" w:hAnsi="Arial" w:cs="Arial"/>
                <w:b/>
                <w:sz w:val="24"/>
                <w:szCs w:val="24"/>
              </w:rPr>
            </w:pPr>
          </w:p>
          <w:p w14:paraId="69F8DA9C" w14:textId="77777777" w:rsidR="00A53F51" w:rsidRPr="00880F5F" w:rsidRDefault="00A53F51" w:rsidP="00C9524A">
            <w:pPr>
              <w:shd w:val="clear" w:color="auto" w:fill="FFFFFF"/>
              <w:jc w:val="center"/>
              <w:rPr>
                <w:rFonts w:ascii="Arial" w:eastAsia="Trebuchet MS" w:hAnsi="Arial" w:cs="Arial"/>
                <w:b/>
                <w:sz w:val="24"/>
                <w:szCs w:val="24"/>
              </w:rPr>
            </w:pPr>
            <w:r w:rsidRPr="00880F5F">
              <w:rPr>
                <w:rFonts w:ascii="Arial" w:eastAsia="Trebuchet MS" w:hAnsi="Arial" w:cs="Arial"/>
                <w:b/>
                <w:sz w:val="24"/>
                <w:szCs w:val="24"/>
              </w:rPr>
              <w:t>Mtro. Christian Flores Garza</w:t>
            </w:r>
          </w:p>
          <w:p w14:paraId="0AE778CD" w14:textId="1E700723" w:rsidR="00A53F51" w:rsidRPr="00880F5F" w:rsidRDefault="00A53F51" w:rsidP="00C9524A">
            <w:pPr>
              <w:shd w:val="clear" w:color="auto" w:fill="FFFFFF"/>
              <w:jc w:val="center"/>
              <w:rPr>
                <w:rFonts w:ascii="Arial" w:eastAsia="Trebuchet MS" w:hAnsi="Arial" w:cs="Arial"/>
                <w:b/>
                <w:sz w:val="24"/>
                <w:szCs w:val="24"/>
              </w:rPr>
            </w:pPr>
            <w:r w:rsidRPr="00880F5F">
              <w:rPr>
                <w:rFonts w:ascii="Arial" w:eastAsia="Trebuchet MS" w:hAnsi="Arial" w:cs="Arial"/>
                <w:b/>
                <w:sz w:val="24"/>
                <w:szCs w:val="24"/>
              </w:rPr>
              <w:t xml:space="preserve">El </w:t>
            </w:r>
            <w:r w:rsidR="009F2A7F" w:rsidRPr="00880F5F">
              <w:rPr>
                <w:rFonts w:ascii="Arial" w:eastAsia="Trebuchet MS" w:hAnsi="Arial" w:cs="Arial"/>
                <w:b/>
                <w:sz w:val="24"/>
                <w:szCs w:val="24"/>
              </w:rPr>
              <w:t>s</w:t>
            </w:r>
            <w:r w:rsidRPr="00880F5F">
              <w:rPr>
                <w:rFonts w:ascii="Arial" w:eastAsia="Trebuchet MS" w:hAnsi="Arial" w:cs="Arial"/>
                <w:b/>
                <w:sz w:val="24"/>
                <w:szCs w:val="24"/>
              </w:rPr>
              <w:t xml:space="preserve">ecretario </w:t>
            </w:r>
            <w:r w:rsidR="009F2A7F" w:rsidRPr="00880F5F">
              <w:rPr>
                <w:rFonts w:ascii="Arial" w:eastAsia="Trebuchet MS" w:hAnsi="Arial" w:cs="Arial"/>
                <w:b/>
                <w:sz w:val="24"/>
                <w:szCs w:val="24"/>
              </w:rPr>
              <w:t>e</w:t>
            </w:r>
            <w:r w:rsidRPr="00880F5F">
              <w:rPr>
                <w:rFonts w:ascii="Arial" w:eastAsia="Trebuchet MS" w:hAnsi="Arial" w:cs="Arial"/>
                <w:b/>
                <w:sz w:val="24"/>
                <w:szCs w:val="24"/>
              </w:rPr>
              <w:t>jecutivo</w:t>
            </w:r>
          </w:p>
          <w:p w14:paraId="6D121A0D" w14:textId="77777777" w:rsidR="00A53F51" w:rsidRPr="00880F5F" w:rsidRDefault="00A53F51" w:rsidP="00C9524A">
            <w:pPr>
              <w:jc w:val="center"/>
              <w:rPr>
                <w:rFonts w:ascii="Arial" w:eastAsia="Trebuchet MS" w:hAnsi="Arial" w:cs="Arial"/>
                <w:b/>
                <w:sz w:val="24"/>
                <w:szCs w:val="24"/>
              </w:rPr>
            </w:pPr>
          </w:p>
        </w:tc>
      </w:tr>
    </w:tbl>
    <w:p w14:paraId="21CDF39B" w14:textId="77777777" w:rsidR="009F2A7F" w:rsidRPr="00880F5F" w:rsidRDefault="009F2A7F" w:rsidP="009F2A7F">
      <w:pPr>
        <w:pStyle w:val="Sinespaciado"/>
        <w:jc w:val="both"/>
        <w:rPr>
          <w:rFonts w:ascii="Arial" w:hAnsi="Arial" w:cs="Arial"/>
          <w:sz w:val="16"/>
          <w:szCs w:val="16"/>
        </w:rPr>
      </w:pPr>
      <w:r w:rsidRPr="00880F5F">
        <w:rPr>
          <w:rFonts w:ascii="Arial"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en sesión ordinaria del Consejo General celebrada el veintiséis de agosto de dos mil veintidós, por votación unánime de las y los consejeros electorales Silvia Guadalupe Bustos Vásquez</w:t>
      </w:r>
      <w:r w:rsidRPr="00880F5F">
        <w:rPr>
          <w:rFonts w:ascii="Arial" w:hAnsi="Arial" w:cs="Arial"/>
          <w:bCs/>
          <w:sz w:val="16"/>
          <w:szCs w:val="16"/>
        </w:rPr>
        <w:t>,</w:t>
      </w:r>
      <w:r w:rsidRPr="00880F5F">
        <w:rPr>
          <w:rFonts w:ascii="Arial" w:hAnsi="Arial" w:cs="Arial"/>
          <w:sz w:val="16"/>
          <w:szCs w:val="16"/>
        </w:rPr>
        <w:t xml:space="preserve"> Zoad Jeanine García González, Miguel Godínez Terríquez</w:t>
      </w:r>
      <w:r w:rsidRPr="00880F5F">
        <w:rPr>
          <w:rFonts w:ascii="Arial" w:hAnsi="Arial" w:cs="Arial"/>
          <w:bCs/>
          <w:sz w:val="16"/>
          <w:szCs w:val="16"/>
        </w:rPr>
        <w:t>,</w:t>
      </w:r>
      <w:r w:rsidRPr="00880F5F">
        <w:rPr>
          <w:rFonts w:ascii="Arial" w:hAnsi="Arial" w:cs="Arial"/>
          <w:sz w:val="16"/>
          <w:szCs w:val="16"/>
        </w:rPr>
        <w:t xml:space="preserve"> </w:t>
      </w:r>
      <w:r w:rsidRPr="00880F5F">
        <w:rPr>
          <w:rFonts w:ascii="Arial" w:hAnsi="Arial" w:cs="Arial"/>
          <w:bCs/>
          <w:sz w:val="16"/>
          <w:szCs w:val="16"/>
        </w:rPr>
        <w:t xml:space="preserve">Moisés Pérez Vega, Brenda Judith Serafín Morfín, Claudia Alejandra Vargas Bautista y de la consejera presidenta </w:t>
      </w:r>
      <w:r w:rsidRPr="00880F5F">
        <w:rPr>
          <w:rFonts w:ascii="Arial" w:hAnsi="Arial" w:cs="Arial"/>
          <w:sz w:val="16"/>
          <w:szCs w:val="16"/>
        </w:rPr>
        <w:t>Paula Ramírez Höhne. Doy fe.</w:t>
      </w:r>
    </w:p>
    <w:p w14:paraId="750743B1" w14:textId="77777777" w:rsidR="009F2A7F" w:rsidRPr="00880F5F" w:rsidRDefault="009F2A7F" w:rsidP="009F2A7F">
      <w:pPr>
        <w:jc w:val="both"/>
        <w:rPr>
          <w:rFonts w:ascii="Arial" w:hAnsi="Arial" w:cs="Arial"/>
          <w:sz w:val="16"/>
          <w:szCs w:val="16"/>
        </w:rPr>
      </w:pPr>
    </w:p>
    <w:p w14:paraId="7C611A1D" w14:textId="77777777" w:rsidR="009F2A7F" w:rsidRPr="00880F5F" w:rsidRDefault="009F2A7F" w:rsidP="009F2A7F">
      <w:pPr>
        <w:jc w:val="both"/>
        <w:rPr>
          <w:rFonts w:ascii="Arial" w:hAnsi="Arial" w:cs="Arial"/>
          <w:sz w:val="16"/>
          <w:szCs w:val="16"/>
        </w:rPr>
      </w:pPr>
    </w:p>
    <w:p w14:paraId="32BCDAF5" w14:textId="77777777" w:rsidR="009F2A7F" w:rsidRPr="00880F5F" w:rsidRDefault="009F2A7F" w:rsidP="009F2A7F">
      <w:pPr>
        <w:pStyle w:val="Textoindependiente"/>
        <w:spacing w:after="0"/>
        <w:jc w:val="center"/>
        <w:rPr>
          <w:rFonts w:ascii="Arial" w:hAnsi="Arial" w:cs="Arial"/>
          <w:b/>
          <w:sz w:val="16"/>
          <w:szCs w:val="16"/>
        </w:rPr>
      </w:pPr>
      <w:r w:rsidRPr="00880F5F">
        <w:rPr>
          <w:rFonts w:ascii="Arial" w:hAnsi="Arial" w:cs="Arial"/>
          <w:b/>
          <w:sz w:val="16"/>
          <w:szCs w:val="16"/>
        </w:rPr>
        <w:t>Mtro. Christian Flores Garza</w:t>
      </w:r>
    </w:p>
    <w:p w14:paraId="0A55137E" w14:textId="521B3777" w:rsidR="0035490C" w:rsidRPr="00880F5F" w:rsidRDefault="009F2A7F" w:rsidP="00880F5F">
      <w:pPr>
        <w:pStyle w:val="Textoindependiente"/>
        <w:spacing w:after="0"/>
        <w:jc w:val="center"/>
        <w:rPr>
          <w:rFonts w:ascii="Arial" w:hAnsi="Arial" w:cs="Arial"/>
          <w:sz w:val="24"/>
          <w:szCs w:val="24"/>
        </w:rPr>
      </w:pPr>
      <w:r w:rsidRPr="00880F5F">
        <w:rPr>
          <w:rFonts w:ascii="Arial" w:hAnsi="Arial" w:cs="Arial"/>
          <w:b/>
          <w:sz w:val="16"/>
          <w:szCs w:val="16"/>
        </w:rPr>
        <w:t>El secretario ejecutivo</w:t>
      </w:r>
    </w:p>
    <w:p w14:paraId="7CD97308" w14:textId="77777777" w:rsidR="0035490C" w:rsidRPr="00880F5F" w:rsidRDefault="0035490C" w:rsidP="000F3649">
      <w:pPr>
        <w:pStyle w:val="Sinespaciado"/>
        <w:spacing w:line="276" w:lineRule="auto"/>
        <w:jc w:val="both"/>
        <w:rPr>
          <w:rFonts w:ascii="Arial" w:hAnsi="Arial" w:cs="Arial"/>
          <w:sz w:val="24"/>
          <w:szCs w:val="24"/>
        </w:rPr>
      </w:pPr>
    </w:p>
    <w:p w14:paraId="5072A430" w14:textId="77777777" w:rsidR="00B50E82" w:rsidRPr="00880F5F" w:rsidRDefault="00B50E82">
      <w:pPr>
        <w:spacing w:after="0" w:line="360" w:lineRule="auto"/>
        <w:jc w:val="both"/>
        <w:rPr>
          <w:rFonts w:ascii="Arial" w:hAnsi="Arial" w:cs="Arial"/>
          <w:bCs/>
          <w:sz w:val="28"/>
          <w:szCs w:val="28"/>
        </w:rPr>
      </w:pPr>
    </w:p>
    <w:sectPr w:rsidR="00B50E82" w:rsidRPr="00880F5F" w:rsidSect="00880F5F">
      <w:headerReference w:type="default" r:id="rId10"/>
      <w:footerReference w:type="default" r:id="rId11"/>
      <w:pgSz w:w="12240" w:h="15840" w:code="1"/>
      <w:pgMar w:top="2552" w:right="1418" w:bottom="1701" w:left="1701"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1F72" w16cex:dateUtc="2022-08-25T03:06:00Z"/>
  <w16cex:commentExtensible w16cex:durableId="26B120BA" w16cex:dateUtc="2022-08-25T0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E0441" w16cid:durableId="26B11F72"/>
  <w16cid:commentId w16cid:paraId="02559B56" w16cid:durableId="26B120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9C282" w14:textId="77777777" w:rsidR="00C31FF0" w:rsidRDefault="00C31FF0" w:rsidP="00E03D2E">
      <w:pPr>
        <w:spacing w:after="0" w:line="240" w:lineRule="auto"/>
      </w:pPr>
      <w:r>
        <w:separator/>
      </w:r>
    </w:p>
  </w:endnote>
  <w:endnote w:type="continuationSeparator" w:id="0">
    <w:p w14:paraId="1DEA7F26" w14:textId="77777777" w:rsidR="00C31FF0" w:rsidRDefault="00C31FF0"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E0387" w14:textId="77777777" w:rsidR="00880F5F" w:rsidRPr="00880F5F" w:rsidRDefault="00880F5F" w:rsidP="00880F5F">
    <w:pPr>
      <w:tabs>
        <w:tab w:val="center" w:pos="4419"/>
        <w:tab w:val="right" w:pos="8838"/>
      </w:tabs>
      <w:spacing w:after="0" w:line="240" w:lineRule="auto"/>
      <w:jc w:val="center"/>
      <w:rPr>
        <w:rFonts w:ascii="Arial" w:eastAsia="Times New Roman" w:hAnsi="Arial" w:cs="Arial"/>
        <w:bCs/>
        <w:color w:val="A6A6A6"/>
        <w:sz w:val="16"/>
        <w:szCs w:val="16"/>
        <w:lang w:val="es-ES" w:eastAsia="es-MX"/>
      </w:rPr>
    </w:pPr>
    <w:r w:rsidRPr="00880F5F">
      <w:rPr>
        <w:rFonts w:ascii="Arial" w:eastAsia="Times New Roman" w:hAnsi="Arial" w:cs="Arial"/>
        <w:bCs/>
        <w:color w:val="A6A6A6"/>
        <w:sz w:val="16"/>
        <w:szCs w:val="16"/>
        <w:lang w:val="es-ES" w:eastAsia="es-MX"/>
      </w:rPr>
      <w:t>Parque de las Estrellas 2764, colonia Jardines del Bosque Centro, Guadalajara, Jalisco, México. C.P.44520</w:t>
    </w:r>
    <w:r w:rsidRPr="00880F5F">
      <w:rPr>
        <w:rFonts w:ascii="Arial" w:eastAsia="Times New Roman" w:hAnsi="Arial" w:cs="Arial"/>
        <w:bCs/>
        <w:noProof/>
        <w:color w:val="A6A6A6"/>
        <w:sz w:val="16"/>
        <w:szCs w:val="16"/>
        <w:lang w:val="es-ES" w:eastAsia="es-MX"/>
      </w:rPr>
      <w:pict w14:anchorId="52874D51">
        <v:rect id="_x0000_i1025" alt="" style="width:376.95pt;height:.05pt;mso-width-percent:0;mso-height-percent:0;mso-width-percent:0;mso-height-percent:0" o:hrpct="853" o:hralign="center" o:hrstd="t" o:hr="t" fillcolor="#a0a0a0" stroked="f"/>
      </w:pict>
    </w:r>
  </w:p>
  <w:p w14:paraId="4DCA297C" w14:textId="77777777" w:rsidR="00880F5F" w:rsidRPr="00880F5F" w:rsidRDefault="00880F5F" w:rsidP="00880F5F">
    <w:pPr>
      <w:tabs>
        <w:tab w:val="center" w:pos="4419"/>
        <w:tab w:val="right" w:pos="8838"/>
      </w:tabs>
      <w:spacing w:after="0" w:line="240" w:lineRule="auto"/>
      <w:jc w:val="center"/>
      <w:rPr>
        <w:rFonts w:ascii="Arial" w:eastAsia="Times New Roman" w:hAnsi="Arial" w:cs="Arial"/>
        <w:b/>
        <w:color w:val="7030A0"/>
        <w:sz w:val="16"/>
        <w:szCs w:val="16"/>
        <w:lang w:eastAsia="es-MX"/>
      </w:rPr>
    </w:pPr>
    <w:r w:rsidRPr="00880F5F">
      <w:rPr>
        <w:rFonts w:ascii="Arial" w:eastAsia="Times New Roman" w:hAnsi="Arial" w:cs="Arial"/>
        <w:b/>
        <w:bCs/>
        <w:color w:val="7030A0"/>
        <w:sz w:val="16"/>
        <w:szCs w:val="16"/>
        <w:lang w:eastAsia="es-MX"/>
      </w:rPr>
      <w:t>www.iepcjalisco.org.mx</w:t>
    </w:r>
  </w:p>
  <w:p w14:paraId="529ACE0D" w14:textId="2724A087" w:rsidR="008004C0" w:rsidRPr="00880F5F" w:rsidRDefault="00880F5F" w:rsidP="00880F5F">
    <w:pPr>
      <w:tabs>
        <w:tab w:val="center" w:pos="4419"/>
        <w:tab w:val="right" w:pos="8838"/>
      </w:tabs>
      <w:spacing w:after="0" w:line="240" w:lineRule="auto"/>
      <w:jc w:val="right"/>
      <w:rPr>
        <w:rFonts w:ascii="Arial" w:hAnsi="Arial" w:cs="Arial"/>
        <w:sz w:val="16"/>
      </w:rPr>
    </w:pPr>
    <w:r w:rsidRPr="00880F5F">
      <w:rPr>
        <w:rFonts w:ascii="Arial" w:hAnsi="Arial" w:cs="Arial"/>
        <w:sz w:val="16"/>
        <w:szCs w:val="16"/>
      </w:rPr>
      <w:t xml:space="preserve">Página </w:t>
    </w:r>
    <w:r w:rsidRPr="00880F5F">
      <w:rPr>
        <w:rFonts w:ascii="Arial" w:hAnsi="Arial" w:cs="Arial"/>
        <w:sz w:val="16"/>
        <w:szCs w:val="16"/>
      </w:rPr>
      <w:fldChar w:fldCharType="begin"/>
    </w:r>
    <w:r w:rsidRPr="00880F5F">
      <w:rPr>
        <w:rFonts w:ascii="Arial" w:hAnsi="Arial" w:cs="Arial"/>
        <w:sz w:val="16"/>
        <w:szCs w:val="16"/>
      </w:rPr>
      <w:instrText xml:space="preserve"> PAGE </w:instrText>
    </w:r>
    <w:r w:rsidRPr="00880F5F">
      <w:rPr>
        <w:rFonts w:ascii="Arial" w:hAnsi="Arial" w:cs="Arial"/>
        <w:sz w:val="16"/>
        <w:szCs w:val="16"/>
      </w:rPr>
      <w:fldChar w:fldCharType="separate"/>
    </w:r>
    <w:r w:rsidR="00660844">
      <w:rPr>
        <w:rFonts w:ascii="Arial" w:hAnsi="Arial" w:cs="Arial"/>
        <w:noProof/>
        <w:sz w:val="16"/>
        <w:szCs w:val="16"/>
      </w:rPr>
      <w:t>4</w:t>
    </w:r>
    <w:r w:rsidRPr="00880F5F">
      <w:rPr>
        <w:rFonts w:ascii="Arial" w:hAnsi="Arial" w:cs="Arial"/>
        <w:sz w:val="16"/>
        <w:szCs w:val="16"/>
      </w:rPr>
      <w:fldChar w:fldCharType="end"/>
    </w:r>
    <w:r w:rsidRPr="00880F5F">
      <w:rPr>
        <w:rFonts w:ascii="Arial" w:hAnsi="Arial" w:cs="Arial"/>
        <w:sz w:val="16"/>
        <w:szCs w:val="16"/>
      </w:rPr>
      <w:t xml:space="preserve"> de </w:t>
    </w:r>
    <w:r w:rsidRPr="00880F5F">
      <w:rPr>
        <w:rFonts w:ascii="Arial" w:hAnsi="Arial" w:cs="Arial"/>
        <w:sz w:val="16"/>
        <w:szCs w:val="16"/>
      </w:rPr>
      <w:fldChar w:fldCharType="begin"/>
    </w:r>
    <w:r w:rsidRPr="00880F5F">
      <w:rPr>
        <w:rFonts w:ascii="Arial" w:hAnsi="Arial" w:cs="Arial"/>
        <w:sz w:val="16"/>
        <w:szCs w:val="16"/>
      </w:rPr>
      <w:instrText xml:space="preserve"> NUMPAGES </w:instrText>
    </w:r>
    <w:r w:rsidRPr="00880F5F">
      <w:rPr>
        <w:rFonts w:ascii="Arial" w:hAnsi="Arial" w:cs="Arial"/>
        <w:sz w:val="16"/>
        <w:szCs w:val="16"/>
      </w:rPr>
      <w:fldChar w:fldCharType="separate"/>
    </w:r>
    <w:r w:rsidR="00660844">
      <w:rPr>
        <w:rFonts w:ascii="Arial" w:hAnsi="Arial" w:cs="Arial"/>
        <w:noProof/>
        <w:sz w:val="16"/>
        <w:szCs w:val="16"/>
      </w:rPr>
      <w:t>6</w:t>
    </w:r>
    <w:r w:rsidRPr="00880F5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48907" w14:textId="77777777" w:rsidR="00C31FF0" w:rsidRDefault="00C31FF0" w:rsidP="00E03D2E">
      <w:pPr>
        <w:spacing w:after="0" w:line="240" w:lineRule="auto"/>
      </w:pPr>
      <w:r>
        <w:separator/>
      </w:r>
    </w:p>
  </w:footnote>
  <w:footnote w:type="continuationSeparator" w:id="0">
    <w:p w14:paraId="0556F75B" w14:textId="77777777" w:rsidR="00C31FF0" w:rsidRDefault="00C31FF0" w:rsidP="00E03D2E">
      <w:pPr>
        <w:spacing w:after="0" w:line="240" w:lineRule="auto"/>
      </w:pPr>
      <w:r>
        <w:continuationSeparator/>
      </w:r>
    </w:p>
  </w:footnote>
  <w:footnote w:id="1">
    <w:p w14:paraId="68F5E9CC" w14:textId="77777777" w:rsidR="008004C0" w:rsidRPr="00880F5F" w:rsidRDefault="008004C0" w:rsidP="00687C81">
      <w:pPr>
        <w:pStyle w:val="Textonotapie"/>
        <w:jc w:val="both"/>
        <w:rPr>
          <w:rFonts w:ascii="Arial" w:hAnsi="Arial" w:cs="Arial"/>
          <w:sz w:val="16"/>
          <w:szCs w:val="16"/>
        </w:rPr>
      </w:pPr>
      <w:r w:rsidRPr="00880F5F">
        <w:rPr>
          <w:rStyle w:val="Refdenotaalpie"/>
          <w:rFonts w:ascii="Arial" w:hAnsi="Arial" w:cs="Arial"/>
          <w:sz w:val="16"/>
          <w:szCs w:val="16"/>
        </w:rPr>
        <w:footnoteRef/>
      </w:r>
      <w:r w:rsidRPr="00880F5F">
        <w:rPr>
          <w:rFonts w:ascii="Arial" w:hAnsi="Arial" w:cs="Arial"/>
          <w:sz w:val="16"/>
          <w:szCs w:val="16"/>
        </w:rPr>
        <w:t xml:space="preserve"> En adelante todas las fechas corresponden al dos mil veintidós salvo indicación en contrario. </w:t>
      </w:r>
    </w:p>
  </w:footnote>
  <w:footnote w:id="2">
    <w:p w14:paraId="3D172BC6" w14:textId="77777777" w:rsidR="008004C0" w:rsidRPr="00687C81" w:rsidRDefault="008004C0" w:rsidP="00687C81">
      <w:pPr>
        <w:pStyle w:val="Textonotapie"/>
        <w:jc w:val="both"/>
        <w:rPr>
          <w:rFonts w:ascii="Trebuchet MS" w:hAnsi="Trebuchet MS"/>
        </w:rPr>
      </w:pPr>
      <w:r w:rsidRPr="00880F5F">
        <w:rPr>
          <w:rStyle w:val="Refdenotaalpie"/>
          <w:rFonts w:ascii="Arial" w:hAnsi="Arial" w:cs="Arial"/>
          <w:sz w:val="16"/>
          <w:szCs w:val="16"/>
        </w:rPr>
        <w:footnoteRef/>
      </w:r>
      <w:r w:rsidRPr="00880F5F">
        <w:rPr>
          <w:rFonts w:ascii="Arial" w:hAnsi="Arial" w:cs="Arial"/>
          <w:sz w:val="16"/>
          <w:szCs w:val="16"/>
        </w:rPr>
        <w:t xml:space="preserve"> E</w:t>
      </w:r>
      <w:r w:rsidRPr="00880F5F">
        <w:rPr>
          <w:rFonts w:ascii="Arial" w:hAnsi="Arial" w:cs="Arial"/>
          <w:bCs/>
          <w:sz w:val="16"/>
          <w:szCs w:val="16"/>
        </w:rPr>
        <w:t>n lo sucesivo Instituto Electoral.</w:t>
      </w:r>
    </w:p>
  </w:footnote>
  <w:footnote w:id="3">
    <w:p w14:paraId="3CF71DA7" w14:textId="77777777" w:rsidR="008004C0" w:rsidRPr="00880F5F" w:rsidRDefault="008004C0" w:rsidP="006073FD">
      <w:pPr>
        <w:pStyle w:val="Sinespaciado"/>
        <w:spacing w:line="276" w:lineRule="auto"/>
        <w:jc w:val="both"/>
        <w:rPr>
          <w:rFonts w:ascii="Arial" w:eastAsiaTheme="minorEastAsia" w:hAnsi="Arial" w:cs="Arial"/>
          <w:sz w:val="16"/>
          <w:szCs w:val="16"/>
          <w:lang w:eastAsia="es-MX"/>
        </w:rPr>
      </w:pPr>
      <w:r w:rsidRPr="00880F5F">
        <w:rPr>
          <w:rStyle w:val="Refdenotaalpie"/>
          <w:rFonts w:ascii="Arial" w:hAnsi="Arial" w:cs="Arial"/>
          <w:sz w:val="16"/>
          <w:szCs w:val="16"/>
        </w:rPr>
        <w:footnoteRef/>
      </w:r>
      <w:r w:rsidRPr="00880F5F">
        <w:rPr>
          <w:rFonts w:ascii="Arial" w:hAnsi="Arial" w:cs="Arial"/>
          <w:sz w:val="16"/>
          <w:szCs w:val="16"/>
        </w:rPr>
        <w:t xml:space="preserve"> De </w:t>
      </w:r>
      <w:r w:rsidRPr="00880F5F">
        <w:rPr>
          <w:rFonts w:ascii="Arial" w:eastAsiaTheme="minorEastAsia" w:hAnsi="Arial" w:cs="Arial"/>
          <w:bCs/>
          <w:sz w:val="16"/>
          <w:szCs w:val="16"/>
          <w:lang w:eastAsia="es-MX"/>
        </w:rPr>
        <w:t>conformidad con el artículo 12 fracción VIII, inciso m) de la Constitución Política del Estado de Jalisco y 580, párrafo 1, fracción I</w:t>
      </w:r>
      <w:r w:rsidRPr="00880F5F">
        <w:rPr>
          <w:rFonts w:ascii="Arial" w:eastAsiaTheme="minorEastAsia" w:hAnsi="Arial" w:cs="Arial"/>
          <w:sz w:val="16"/>
          <w:szCs w:val="16"/>
          <w:lang w:eastAsia="es-MX"/>
        </w:rPr>
        <w:t xml:space="preserve"> del Código Electoral del Estado de Jalisco.</w:t>
      </w:r>
    </w:p>
    <w:p w14:paraId="6F395786" w14:textId="77777777" w:rsidR="008004C0" w:rsidRDefault="008004C0">
      <w:pPr>
        <w:pStyle w:val="Textonotapie"/>
      </w:pPr>
    </w:p>
  </w:footnote>
  <w:footnote w:id="4">
    <w:p w14:paraId="05DF90F1" w14:textId="77777777" w:rsidR="00F81C60" w:rsidRPr="00880F5F" w:rsidRDefault="00F81C60" w:rsidP="00880F5F">
      <w:pPr>
        <w:pStyle w:val="Textonotapie"/>
        <w:jc w:val="both"/>
        <w:rPr>
          <w:rFonts w:ascii="Arial" w:hAnsi="Arial" w:cs="Arial"/>
          <w:sz w:val="16"/>
          <w:szCs w:val="16"/>
        </w:rPr>
      </w:pPr>
      <w:r w:rsidRPr="00880F5F">
        <w:rPr>
          <w:rStyle w:val="Refdenotaalpie"/>
          <w:rFonts w:ascii="Arial" w:eastAsia="Arial Unicode MS" w:hAnsi="Arial" w:cs="Arial"/>
          <w:sz w:val="16"/>
          <w:szCs w:val="16"/>
        </w:rPr>
        <w:footnoteRef/>
      </w:r>
      <w:r w:rsidRPr="00880F5F">
        <w:rPr>
          <w:rFonts w:ascii="Arial" w:hAnsi="Arial" w:cs="Arial"/>
          <w:sz w:val="16"/>
          <w:szCs w:val="16"/>
        </w:rPr>
        <w:t xml:space="preserve">  Visible en autos.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880F5F" w14:paraId="09838883" w14:textId="77777777" w:rsidTr="00880F5F">
      <w:tc>
        <w:tcPr>
          <w:tcW w:w="4489" w:type="dxa"/>
        </w:tcPr>
        <w:p w14:paraId="682F3BC8" w14:textId="44CA7281" w:rsidR="00880F5F" w:rsidRDefault="00880F5F" w:rsidP="00880F5F">
          <w:pPr>
            <w:pStyle w:val="Encabezado"/>
            <w:rPr>
              <w:rFonts w:ascii="Trebuchet MS" w:hAnsi="Trebuchet MS"/>
              <w:b/>
              <w:sz w:val="24"/>
              <w:szCs w:val="24"/>
              <w:lang w:val="es-MX"/>
            </w:rPr>
          </w:pPr>
          <w:r w:rsidRPr="00880F5F">
            <w:rPr>
              <w:rFonts w:ascii="Times New Roman" w:hAnsi="Times New Roman" w:cs="Times New Roman"/>
              <w:noProof/>
              <w:sz w:val="24"/>
              <w:szCs w:val="24"/>
              <w:lang w:val="es-MX" w:eastAsia="es-MX"/>
            </w:rPr>
            <w:drawing>
              <wp:inline distT="0" distB="0" distL="0" distR="0" wp14:anchorId="25979D93" wp14:editId="4484DAA8">
                <wp:extent cx="1390650" cy="780956"/>
                <wp:effectExtent l="0" t="0" r="0" b="63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489" w:type="dxa"/>
        </w:tcPr>
        <w:p w14:paraId="38047554" w14:textId="77777777" w:rsidR="00880F5F" w:rsidRDefault="00880F5F" w:rsidP="00880F5F">
          <w:pPr>
            <w:pStyle w:val="Encabezado"/>
            <w:jc w:val="right"/>
            <w:rPr>
              <w:b/>
              <w:sz w:val="24"/>
              <w:szCs w:val="24"/>
              <w:lang w:val="es-MX"/>
            </w:rPr>
          </w:pPr>
        </w:p>
        <w:p w14:paraId="1E15D7F5" w14:textId="77777777" w:rsidR="00880F5F" w:rsidRDefault="00880F5F" w:rsidP="00880F5F">
          <w:pPr>
            <w:pStyle w:val="Encabezado"/>
            <w:jc w:val="right"/>
            <w:rPr>
              <w:b/>
              <w:sz w:val="24"/>
              <w:szCs w:val="24"/>
              <w:lang w:val="es-MX"/>
            </w:rPr>
          </w:pPr>
        </w:p>
        <w:p w14:paraId="77155C51" w14:textId="5159AF78" w:rsidR="00880F5F" w:rsidRPr="00880F5F" w:rsidRDefault="00880F5F" w:rsidP="00880F5F">
          <w:pPr>
            <w:pStyle w:val="Encabezado"/>
            <w:jc w:val="right"/>
            <w:rPr>
              <w:b/>
              <w:sz w:val="24"/>
              <w:szCs w:val="24"/>
              <w:lang w:val="es-MX"/>
            </w:rPr>
          </w:pPr>
          <w:r w:rsidRPr="00880F5F">
            <w:rPr>
              <w:b/>
              <w:sz w:val="24"/>
              <w:szCs w:val="24"/>
              <w:lang w:val="es-MX"/>
            </w:rPr>
            <w:t>REV-003/2022</w:t>
          </w:r>
        </w:p>
      </w:tc>
    </w:tr>
  </w:tbl>
  <w:p w14:paraId="44C6AC08" w14:textId="77777777" w:rsidR="008004C0" w:rsidRPr="00E64955" w:rsidRDefault="008004C0" w:rsidP="00880F5F">
    <w:pPr>
      <w:pStyle w:val="Encabezado"/>
      <w:jc w:val="right"/>
      <w:rPr>
        <w:rFonts w:ascii="Trebuchet MS" w:hAnsi="Trebuchet MS"/>
        <w:b/>
        <w:sz w:val="24"/>
        <w:szCs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7"/>
  </w:num>
  <w:num w:numId="3">
    <w:abstractNumId w:val="15"/>
  </w:num>
  <w:num w:numId="4">
    <w:abstractNumId w:val="0"/>
  </w:num>
  <w:num w:numId="5">
    <w:abstractNumId w:val="7"/>
  </w:num>
  <w:num w:numId="6">
    <w:abstractNumId w:val="14"/>
  </w:num>
  <w:num w:numId="7">
    <w:abstractNumId w:val="9"/>
  </w:num>
  <w:num w:numId="8">
    <w:abstractNumId w:val="1"/>
  </w:num>
  <w:num w:numId="9">
    <w:abstractNumId w:val="8"/>
  </w:num>
  <w:num w:numId="10">
    <w:abstractNumId w:val="10"/>
  </w:num>
  <w:num w:numId="11">
    <w:abstractNumId w:val="13"/>
  </w:num>
  <w:num w:numId="12">
    <w:abstractNumId w:val="2"/>
  </w:num>
  <w:num w:numId="13">
    <w:abstractNumId w:val="5"/>
  </w:num>
  <w:num w:numId="14">
    <w:abstractNumId w:val="4"/>
  </w:num>
  <w:num w:numId="15">
    <w:abstractNumId w:val="6"/>
  </w:num>
  <w:num w:numId="16">
    <w:abstractNumId w:val="16"/>
  </w:num>
  <w:num w:numId="17">
    <w:abstractNumId w:val="3"/>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2E"/>
    <w:rsid w:val="00000EEF"/>
    <w:rsid w:val="00002C0D"/>
    <w:rsid w:val="00003F30"/>
    <w:rsid w:val="00006697"/>
    <w:rsid w:val="00017C64"/>
    <w:rsid w:val="00024F3C"/>
    <w:rsid w:val="00025D34"/>
    <w:rsid w:val="00046BD1"/>
    <w:rsid w:val="00047DEC"/>
    <w:rsid w:val="000513F0"/>
    <w:rsid w:val="00051FA4"/>
    <w:rsid w:val="00057448"/>
    <w:rsid w:val="000600E6"/>
    <w:rsid w:val="0006118F"/>
    <w:rsid w:val="00067B40"/>
    <w:rsid w:val="0007430F"/>
    <w:rsid w:val="00074F35"/>
    <w:rsid w:val="000867F1"/>
    <w:rsid w:val="0009603E"/>
    <w:rsid w:val="000A0EF6"/>
    <w:rsid w:val="000B0BFA"/>
    <w:rsid w:val="000B4348"/>
    <w:rsid w:val="000B51A5"/>
    <w:rsid w:val="000D182A"/>
    <w:rsid w:val="000D6A88"/>
    <w:rsid w:val="000D6E51"/>
    <w:rsid w:val="000E1887"/>
    <w:rsid w:val="000E3EB2"/>
    <w:rsid w:val="000E5793"/>
    <w:rsid w:val="000F3649"/>
    <w:rsid w:val="000F5046"/>
    <w:rsid w:val="000F6725"/>
    <w:rsid w:val="00113A5D"/>
    <w:rsid w:val="0011533E"/>
    <w:rsid w:val="00126E75"/>
    <w:rsid w:val="00150D65"/>
    <w:rsid w:val="00157CE7"/>
    <w:rsid w:val="00172B01"/>
    <w:rsid w:val="00180318"/>
    <w:rsid w:val="00187AE8"/>
    <w:rsid w:val="001A550F"/>
    <w:rsid w:val="001A6A07"/>
    <w:rsid w:val="001B22BB"/>
    <w:rsid w:val="001C0007"/>
    <w:rsid w:val="001C165D"/>
    <w:rsid w:val="001C2D82"/>
    <w:rsid w:val="001C4B35"/>
    <w:rsid w:val="001D1032"/>
    <w:rsid w:val="001E2D29"/>
    <w:rsid w:val="0020410B"/>
    <w:rsid w:val="00206411"/>
    <w:rsid w:val="0021144A"/>
    <w:rsid w:val="00214527"/>
    <w:rsid w:val="00220171"/>
    <w:rsid w:val="00221A03"/>
    <w:rsid w:val="00221BCD"/>
    <w:rsid w:val="00244FBF"/>
    <w:rsid w:val="00250D21"/>
    <w:rsid w:val="00254D10"/>
    <w:rsid w:val="00261238"/>
    <w:rsid w:val="00262657"/>
    <w:rsid w:val="00265E77"/>
    <w:rsid w:val="002742B0"/>
    <w:rsid w:val="002823BB"/>
    <w:rsid w:val="00283D77"/>
    <w:rsid w:val="00296240"/>
    <w:rsid w:val="00297D4C"/>
    <w:rsid w:val="002A03F3"/>
    <w:rsid w:val="002A64A6"/>
    <w:rsid w:val="002B0AD0"/>
    <w:rsid w:val="002B695B"/>
    <w:rsid w:val="002C1AF6"/>
    <w:rsid w:val="002C29E7"/>
    <w:rsid w:val="002C46DA"/>
    <w:rsid w:val="002D0751"/>
    <w:rsid w:val="002D1573"/>
    <w:rsid w:val="002D62A1"/>
    <w:rsid w:val="002D7291"/>
    <w:rsid w:val="002D7B63"/>
    <w:rsid w:val="002E23D8"/>
    <w:rsid w:val="002E338F"/>
    <w:rsid w:val="002E4013"/>
    <w:rsid w:val="002F2721"/>
    <w:rsid w:val="002F5813"/>
    <w:rsid w:val="0030025C"/>
    <w:rsid w:val="00304EA0"/>
    <w:rsid w:val="003077E9"/>
    <w:rsid w:val="00315831"/>
    <w:rsid w:val="00317850"/>
    <w:rsid w:val="00324ADF"/>
    <w:rsid w:val="00325A30"/>
    <w:rsid w:val="00334794"/>
    <w:rsid w:val="00334816"/>
    <w:rsid w:val="003439E9"/>
    <w:rsid w:val="00344E78"/>
    <w:rsid w:val="003518E6"/>
    <w:rsid w:val="003524BB"/>
    <w:rsid w:val="0035490C"/>
    <w:rsid w:val="00356065"/>
    <w:rsid w:val="00370509"/>
    <w:rsid w:val="003707FB"/>
    <w:rsid w:val="00370C64"/>
    <w:rsid w:val="00371511"/>
    <w:rsid w:val="00372290"/>
    <w:rsid w:val="003730E1"/>
    <w:rsid w:val="003765F1"/>
    <w:rsid w:val="00384979"/>
    <w:rsid w:val="003A1C72"/>
    <w:rsid w:val="003A396B"/>
    <w:rsid w:val="003A57BB"/>
    <w:rsid w:val="003A63FC"/>
    <w:rsid w:val="003C0C02"/>
    <w:rsid w:val="003D3A9F"/>
    <w:rsid w:val="003E3652"/>
    <w:rsid w:val="003F7346"/>
    <w:rsid w:val="00401A1D"/>
    <w:rsid w:val="004040FC"/>
    <w:rsid w:val="00405AA7"/>
    <w:rsid w:val="00413B60"/>
    <w:rsid w:val="00440C21"/>
    <w:rsid w:val="00442DD8"/>
    <w:rsid w:val="00444774"/>
    <w:rsid w:val="00454283"/>
    <w:rsid w:val="00461023"/>
    <w:rsid w:val="00470C88"/>
    <w:rsid w:val="004A0D87"/>
    <w:rsid w:val="004A4028"/>
    <w:rsid w:val="004A547C"/>
    <w:rsid w:val="004A7BA1"/>
    <w:rsid w:val="004A7EDE"/>
    <w:rsid w:val="004C4B5F"/>
    <w:rsid w:val="004D4BB1"/>
    <w:rsid w:val="004D7465"/>
    <w:rsid w:val="004F0ECB"/>
    <w:rsid w:val="00505E98"/>
    <w:rsid w:val="00513B4C"/>
    <w:rsid w:val="00517EC8"/>
    <w:rsid w:val="005208E8"/>
    <w:rsid w:val="005248E2"/>
    <w:rsid w:val="00536FBC"/>
    <w:rsid w:val="00541C3F"/>
    <w:rsid w:val="00542838"/>
    <w:rsid w:val="0054519A"/>
    <w:rsid w:val="0054711F"/>
    <w:rsid w:val="005516F1"/>
    <w:rsid w:val="00552DC7"/>
    <w:rsid w:val="005555F7"/>
    <w:rsid w:val="00567FB4"/>
    <w:rsid w:val="005701DE"/>
    <w:rsid w:val="00572BE5"/>
    <w:rsid w:val="005732A2"/>
    <w:rsid w:val="005764B1"/>
    <w:rsid w:val="005863F9"/>
    <w:rsid w:val="005904C1"/>
    <w:rsid w:val="005A0BD6"/>
    <w:rsid w:val="005C2449"/>
    <w:rsid w:val="005C649D"/>
    <w:rsid w:val="005D1C5B"/>
    <w:rsid w:val="005D276C"/>
    <w:rsid w:val="005D52D1"/>
    <w:rsid w:val="005E1732"/>
    <w:rsid w:val="005F4343"/>
    <w:rsid w:val="005F4DF7"/>
    <w:rsid w:val="005F7B1C"/>
    <w:rsid w:val="00603561"/>
    <w:rsid w:val="006073FD"/>
    <w:rsid w:val="00610373"/>
    <w:rsid w:val="00610F63"/>
    <w:rsid w:val="00614377"/>
    <w:rsid w:val="006157A0"/>
    <w:rsid w:val="00616064"/>
    <w:rsid w:val="00616E36"/>
    <w:rsid w:val="00626E5C"/>
    <w:rsid w:val="00632C9E"/>
    <w:rsid w:val="006435CE"/>
    <w:rsid w:val="006444CD"/>
    <w:rsid w:val="0064652E"/>
    <w:rsid w:val="00651DF8"/>
    <w:rsid w:val="00660844"/>
    <w:rsid w:val="00663708"/>
    <w:rsid w:val="006659A5"/>
    <w:rsid w:val="00666CAA"/>
    <w:rsid w:val="0067337B"/>
    <w:rsid w:val="006743BC"/>
    <w:rsid w:val="00675A20"/>
    <w:rsid w:val="00682029"/>
    <w:rsid w:val="00683336"/>
    <w:rsid w:val="00683CA9"/>
    <w:rsid w:val="00687C81"/>
    <w:rsid w:val="0069063E"/>
    <w:rsid w:val="00697860"/>
    <w:rsid w:val="006A0110"/>
    <w:rsid w:val="006B01C2"/>
    <w:rsid w:val="006C0828"/>
    <w:rsid w:val="006C1DED"/>
    <w:rsid w:val="006D0E65"/>
    <w:rsid w:val="006D0E9A"/>
    <w:rsid w:val="006D2562"/>
    <w:rsid w:val="006D685C"/>
    <w:rsid w:val="006D6B82"/>
    <w:rsid w:val="006E2BA6"/>
    <w:rsid w:val="006E3BC6"/>
    <w:rsid w:val="006F3E80"/>
    <w:rsid w:val="0071196B"/>
    <w:rsid w:val="00711BB9"/>
    <w:rsid w:val="00714673"/>
    <w:rsid w:val="0071699A"/>
    <w:rsid w:val="0072243A"/>
    <w:rsid w:val="00735D3C"/>
    <w:rsid w:val="00745AA6"/>
    <w:rsid w:val="00752122"/>
    <w:rsid w:val="007562E1"/>
    <w:rsid w:val="00756824"/>
    <w:rsid w:val="00765AD3"/>
    <w:rsid w:val="007715CE"/>
    <w:rsid w:val="00776006"/>
    <w:rsid w:val="0078278A"/>
    <w:rsid w:val="007871FA"/>
    <w:rsid w:val="007909DF"/>
    <w:rsid w:val="00791403"/>
    <w:rsid w:val="007A21A2"/>
    <w:rsid w:val="007A4B01"/>
    <w:rsid w:val="007F3DB9"/>
    <w:rsid w:val="007F6488"/>
    <w:rsid w:val="007F6888"/>
    <w:rsid w:val="007F6B74"/>
    <w:rsid w:val="008004C0"/>
    <w:rsid w:val="008019DE"/>
    <w:rsid w:val="0080231A"/>
    <w:rsid w:val="00805363"/>
    <w:rsid w:val="00807007"/>
    <w:rsid w:val="00814FEE"/>
    <w:rsid w:val="00820983"/>
    <w:rsid w:val="00842220"/>
    <w:rsid w:val="00846C69"/>
    <w:rsid w:val="00857904"/>
    <w:rsid w:val="00863DD3"/>
    <w:rsid w:val="008649F4"/>
    <w:rsid w:val="00870D1D"/>
    <w:rsid w:val="008710C4"/>
    <w:rsid w:val="00880F5F"/>
    <w:rsid w:val="00893A74"/>
    <w:rsid w:val="008A4CA6"/>
    <w:rsid w:val="008A73E0"/>
    <w:rsid w:val="008B674F"/>
    <w:rsid w:val="008D1888"/>
    <w:rsid w:val="008E4A33"/>
    <w:rsid w:val="008F4305"/>
    <w:rsid w:val="008F7A13"/>
    <w:rsid w:val="008F7D58"/>
    <w:rsid w:val="008F7D89"/>
    <w:rsid w:val="00906540"/>
    <w:rsid w:val="00912AD8"/>
    <w:rsid w:val="00913C0D"/>
    <w:rsid w:val="00920B1F"/>
    <w:rsid w:val="009316AE"/>
    <w:rsid w:val="00934C7A"/>
    <w:rsid w:val="00940BD4"/>
    <w:rsid w:val="00955C92"/>
    <w:rsid w:val="00967E48"/>
    <w:rsid w:val="009847FB"/>
    <w:rsid w:val="00990A46"/>
    <w:rsid w:val="009B4803"/>
    <w:rsid w:val="009B5C2D"/>
    <w:rsid w:val="009E646D"/>
    <w:rsid w:val="009E68CF"/>
    <w:rsid w:val="009F089B"/>
    <w:rsid w:val="009F1C5F"/>
    <w:rsid w:val="009F2A7F"/>
    <w:rsid w:val="009F3014"/>
    <w:rsid w:val="00A01345"/>
    <w:rsid w:val="00A01719"/>
    <w:rsid w:val="00A05C51"/>
    <w:rsid w:val="00A07A65"/>
    <w:rsid w:val="00A130CE"/>
    <w:rsid w:val="00A132F5"/>
    <w:rsid w:val="00A20EF6"/>
    <w:rsid w:val="00A22571"/>
    <w:rsid w:val="00A25C62"/>
    <w:rsid w:val="00A379C6"/>
    <w:rsid w:val="00A53F51"/>
    <w:rsid w:val="00A57306"/>
    <w:rsid w:val="00A6689D"/>
    <w:rsid w:val="00A67205"/>
    <w:rsid w:val="00A75737"/>
    <w:rsid w:val="00A86183"/>
    <w:rsid w:val="00A9336C"/>
    <w:rsid w:val="00A979D1"/>
    <w:rsid w:val="00AB28FA"/>
    <w:rsid w:val="00AB5C96"/>
    <w:rsid w:val="00AC08C2"/>
    <w:rsid w:val="00AD3788"/>
    <w:rsid w:val="00AD3CC0"/>
    <w:rsid w:val="00AE1211"/>
    <w:rsid w:val="00AE47A2"/>
    <w:rsid w:val="00B02CF9"/>
    <w:rsid w:val="00B045DB"/>
    <w:rsid w:val="00B06EAC"/>
    <w:rsid w:val="00B10286"/>
    <w:rsid w:val="00B12178"/>
    <w:rsid w:val="00B1276C"/>
    <w:rsid w:val="00B154AE"/>
    <w:rsid w:val="00B21B5B"/>
    <w:rsid w:val="00B267EE"/>
    <w:rsid w:val="00B326B6"/>
    <w:rsid w:val="00B42A6E"/>
    <w:rsid w:val="00B44BF8"/>
    <w:rsid w:val="00B458F7"/>
    <w:rsid w:val="00B47FC6"/>
    <w:rsid w:val="00B50E82"/>
    <w:rsid w:val="00B546BB"/>
    <w:rsid w:val="00B62DFC"/>
    <w:rsid w:val="00B63805"/>
    <w:rsid w:val="00B66311"/>
    <w:rsid w:val="00B731C2"/>
    <w:rsid w:val="00B743DE"/>
    <w:rsid w:val="00B756F4"/>
    <w:rsid w:val="00B83DF1"/>
    <w:rsid w:val="00B85A07"/>
    <w:rsid w:val="00B92A03"/>
    <w:rsid w:val="00B971DE"/>
    <w:rsid w:val="00BA1942"/>
    <w:rsid w:val="00BA4E71"/>
    <w:rsid w:val="00BA5E6E"/>
    <w:rsid w:val="00BB16B3"/>
    <w:rsid w:val="00BB363E"/>
    <w:rsid w:val="00BD5E56"/>
    <w:rsid w:val="00BE07BB"/>
    <w:rsid w:val="00BE160C"/>
    <w:rsid w:val="00BF02C1"/>
    <w:rsid w:val="00BF4717"/>
    <w:rsid w:val="00C01BED"/>
    <w:rsid w:val="00C30339"/>
    <w:rsid w:val="00C30CA9"/>
    <w:rsid w:val="00C31FF0"/>
    <w:rsid w:val="00C3573A"/>
    <w:rsid w:val="00C52128"/>
    <w:rsid w:val="00C61FD2"/>
    <w:rsid w:val="00C6345E"/>
    <w:rsid w:val="00C639A5"/>
    <w:rsid w:val="00C77BC2"/>
    <w:rsid w:val="00C812F9"/>
    <w:rsid w:val="00C823C2"/>
    <w:rsid w:val="00C84F16"/>
    <w:rsid w:val="00C86C28"/>
    <w:rsid w:val="00C92512"/>
    <w:rsid w:val="00C94A95"/>
    <w:rsid w:val="00CB07A1"/>
    <w:rsid w:val="00CB624B"/>
    <w:rsid w:val="00CB6B51"/>
    <w:rsid w:val="00CC23BF"/>
    <w:rsid w:val="00CC71DA"/>
    <w:rsid w:val="00CC7FFB"/>
    <w:rsid w:val="00CD3974"/>
    <w:rsid w:val="00CE75AD"/>
    <w:rsid w:val="00CF2C71"/>
    <w:rsid w:val="00CF4DF3"/>
    <w:rsid w:val="00D12665"/>
    <w:rsid w:val="00D239E7"/>
    <w:rsid w:val="00D27DF3"/>
    <w:rsid w:val="00D325C3"/>
    <w:rsid w:val="00D340B6"/>
    <w:rsid w:val="00D358DC"/>
    <w:rsid w:val="00D37E71"/>
    <w:rsid w:val="00D4204F"/>
    <w:rsid w:val="00D42408"/>
    <w:rsid w:val="00D564E4"/>
    <w:rsid w:val="00D7082A"/>
    <w:rsid w:val="00D73901"/>
    <w:rsid w:val="00D7655D"/>
    <w:rsid w:val="00D810A5"/>
    <w:rsid w:val="00DB0CE5"/>
    <w:rsid w:val="00DB4C47"/>
    <w:rsid w:val="00DB4E78"/>
    <w:rsid w:val="00DB67FC"/>
    <w:rsid w:val="00DC4171"/>
    <w:rsid w:val="00DC615B"/>
    <w:rsid w:val="00DD0770"/>
    <w:rsid w:val="00DD70FD"/>
    <w:rsid w:val="00DE156C"/>
    <w:rsid w:val="00DE1A53"/>
    <w:rsid w:val="00DE463F"/>
    <w:rsid w:val="00DF0E54"/>
    <w:rsid w:val="00DF259B"/>
    <w:rsid w:val="00E03D2E"/>
    <w:rsid w:val="00E11DFF"/>
    <w:rsid w:val="00E162F7"/>
    <w:rsid w:val="00E20F8B"/>
    <w:rsid w:val="00E43B41"/>
    <w:rsid w:val="00E55661"/>
    <w:rsid w:val="00E577AA"/>
    <w:rsid w:val="00E62600"/>
    <w:rsid w:val="00E64063"/>
    <w:rsid w:val="00E64955"/>
    <w:rsid w:val="00E73589"/>
    <w:rsid w:val="00E74C07"/>
    <w:rsid w:val="00E76A31"/>
    <w:rsid w:val="00E922AF"/>
    <w:rsid w:val="00E92D8F"/>
    <w:rsid w:val="00E97E36"/>
    <w:rsid w:val="00EA026A"/>
    <w:rsid w:val="00EA027C"/>
    <w:rsid w:val="00EB1DBC"/>
    <w:rsid w:val="00EC26A3"/>
    <w:rsid w:val="00EC3F72"/>
    <w:rsid w:val="00EC4445"/>
    <w:rsid w:val="00EC774D"/>
    <w:rsid w:val="00ED1077"/>
    <w:rsid w:val="00ED3F0E"/>
    <w:rsid w:val="00EF191D"/>
    <w:rsid w:val="00F0588A"/>
    <w:rsid w:val="00F11F5A"/>
    <w:rsid w:val="00F129ED"/>
    <w:rsid w:val="00F12F82"/>
    <w:rsid w:val="00F1396D"/>
    <w:rsid w:val="00F325B0"/>
    <w:rsid w:val="00F32AB1"/>
    <w:rsid w:val="00F459D0"/>
    <w:rsid w:val="00F5147C"/>
    <w:rsid w:val="00F52854"/>
    <w:rsid w:val="00F56578"/>
    <w:rsid w:val="00F6653D"/>
    <w:rsid w:val="00F76E6E"/>
    <w:rsid w:val="00F81C60"/>
    <w:rsid w:val="00F8601A"/>
    <w:rsid w:val="00F86130"/>
    <w:rsid w:val="00FB5587"/>
    <w:rsid w:val="00FC209B"/>
    <w:rsid w:val="00FD4998"/>
    <w:rsid w:val="00FF2630"/>
    <w:rsid w:val="00FF2DB5"/>
    <w:rsid w:val="00FF3076"/>
    <w:rsid w:val="00FF63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C5365"/>
  <w15:docId w15:val="{BF460973-6306-443E-A25F-042C81D1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paragraph" w:customStyle="1" w:styleId="Estilo">
    <w:name w:val="Estilo"/>
    <w:basedOn w:val="Sinespaciado"/>
    <w:link w:val="EstiloCar"/>
    <w:qFormat/>
    <w:rsid w:val="004D7465"/>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4D7465"/>
    <w:rPr>
      <w:rFonts w:ascii="Arial" w:hAnsi="Arial"/>
      <w:sz w:val="24"/>
    </w:rPr>
  </w:style>
  <w:style w:type="character" w:styleId="Refdecomentario">
    <w:name w:val="annotation reference"/>
    <w:basedOn w:val="Fuentedeprrafopredeter"/>
    <w:uiPriority w:val="99"/>
    <w:semiHidden/>
    <w:unhideWhenUsed/>
    <w:rsid w:val="003D3A9F"/>
    <w:rPr>
      <w:sz w:val="16"/>
      <w:szCs w:val="16"/>
    </w:rPr>
  </w:style>
  <w:style w:type="paragraph" w:styleId="Textocomentario">
    <w:name w:val="annotation text"/>
    <w:basedOn w:val="Normal"/>
    <w:link w:val="TextocomentarioCar"/>
    <w:uiPriority w:val="99"/>
    <w:semiHidden/>
    <w:unhideWhenUsed/>
    <w:rsid w:val="003D3A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3A9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D3A9F"/>
    <w:rPr>
      <w:b/>
      <w:bCs/>
    </w:rPr>
  </w:style>
  <w:style w:type="character" w:customStyle="1" w:styleId="AsuntodelcomentarioCar">
    <w:name w:val="Asunto del comentario Car"/>
    <w:basedOn w:val="TextocomentarioCar"/>
    <w:link w:val="Asuntodelcomentario"/>
    <w:uiPriority w:val="99"/>
    <w:semiHidden/>
    <w:rsid w:val="003D3A9F"/>
    <w:rPr>
      <w:rFonts w:ascii="Calibri" w:eastAsia="Calibri" w:hAnsi="Calibri" w:cs="Times New Roman"/>
      <w:b/>
      <w:bCs/>
      <w:sz w:val="20"/>
      <w:szCs w:val="20"/>
    </w:rPr>
  </w:style>
  <w:style w:type="paragraph" w:styleId="Revisin">
    <w:name w:val="Revision"/>
    <w:hidden/>
    <w:uiPriority w:val="99"/>
    <w:semiHidden/>
    <w:rsid w:val="003D3A9F"/>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9F2A7F"/>
    <w:pPr>
      <w:spacing w:after="120"/>
    </w:pPr>
  </w:style>
  <w:style w:type="character" w:customStyle="1" w:styleId="TextoindependienteCar">
    <w:name w:val="Texto independiente Car"/>
    <w:basedOn w:val="Fuentedeprrafopredeter"/>
    <w:link w:val="Textoindependiente"/>
    <w:uiPriority w:val="99"/>
    <w:rsid w:val="009F2A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02A3-5B8D-494C-BB6D-68C77263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1417</Words>
  <Characters>7795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juan.orozco</dc:creator>
  <cp:lastModifiedBy>Luis Alfonso Campos</cp:lastModifiedBy>
  <cp:revision>9</cp:revision>
  <cp:lastPrinted>2018-05-02T21:34:00Z</cp:lastPrinted>
  <dcterms:created xsi:type="dcterms:W3CDTF">2022-08-25T15:32:00Z</dcterms:created>
  <dcterms:modified xsi:type="dcterms:W3CDTF">2022-08-30T16:22:00Z</dcterms:modified>
</cp:coreProperties>
</file>