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21076" w14:textId="736626F9" w:rsidR="00683159" w:rsidRPr="00664249" w:rsidRDefault="00A62D7F" w:rsidP="00296136">
      <w:pPr>
        <w:pStyle w:val="Textoindependiente"/>
        <w:spacing w:before="120" w:after="120" w:line="276" w:lineRule="auto"/>
        <w:rPr>
          <w:rFonts w:cs="Arial"/>
          <w:sz w:val="23"/>
          <w:szCs w:val="23"/>
        </w:rPr>
      </w:pPr>
      <w:bookmarkStart w:id="0" w:name="_GoBack"/>
      <w:bookmarkEnd w:id="0"/>
      <w:r w:rsidRPr="00664249">
        <w:rPr>
          <w:rFonts w:cs="Arial"/>
          <w:sz w:val="23"/>
          <w:szCs w:val="23"/>
        </w:rPr>
        <w:t>ACUERDO DEL CONSEJO GENERAL DEL INSTITUTO ELECTORAL Y DE PARTICIPACIÓN CIUDADANA DEL ESTADO DE JALISCO, QUE DETERMINA LOS MONTOS SOBRE LOS LÍMITES ANUALES DE FINANCIAMIENTO PRIVADO QUE PODRÁ</w:t>
      </w:r>
      <w:r w:rsidR="002934A5" w:rsidRPr="00664249">
        <w:rPr>
          <w:rFonts w:cs="Arial"/>
          <w:sz w:val="23"/>
          <w:szCs w:val="23"/>
        </w:rPr>
        <w:t>N</w:t>
      </w:r>
      <w:r w:rsidRPr="00664249">
        <w:rPr>
          <w:rFonts w:cs="Arial"/>
          <w:sz w:val="23"/>
          <w:szCs w:val="23"/>
        </w:rPr>
        <w:t xml:space="preserve"> PERCIBIR </w:t>
      </w:r>
      <w:r w:rsidR="002934A5" w:rsidRPr="00664249">
        <w:rPr>
          <w:rFonts w:cs="Arial"/>
          <w:sz w:val="23"/>
          <w:szCs w:val="23"/>
        </w:rPr>
        <w:t xml:space="preserve">LOS PARTIDOS </w:t>
      </w:r>
      <w:r w:rsidRPr="00664249">
        <w:rPr>
          <w:rFonts w:cs="Arial"/>
          <w:sz w:val="23"/>
          <w:szCs w:val="23"/>
        </w:rPr>
        <w:t>POLÍTICO</w:t>
      </w:r>
      <w:r w:rsidR="002934A5" w:rsidRPr="00664249">
        <w:rPr>
          <w:rFonts w:cs="Arial"/>
          <w:sz w:val="23"/>
          <w:szCs w:val="23"/>
        </w:rPr>
        <w:t>S NACIONALES CON ACREDITACIÓN EN EL ESTADO DE JALISCO Y LOS PARTIDOS POLÍTICOS LOCALES</w:t>
      </w:r>
      <w:r w:rsidR="00BF0632" w:rsidRPr="00664249">
        <w:rPr>
          <w:rFonts w:cs="Arial"/>
          <w:sz w:val="23"/>
          <w:szCs w:val="23"/>
        </w:rPr>
        <w:t xml:space="preserve"> REGISTRADOS ANTE ESTE INSTITUTO</w:t>
      </w:r>
      <w:r w:rsidRPr="00664249">
        <w:rPr>
          <w:rFonts w:cs="Arial"/>
          <w:sz w:val="23"/>
          <w:szCs w:val="23"/>
        </w:rPr>
        <w:t xml:space="preserve">, DURANTE EL AÑO DOS MIL </w:t>
      </w:r>
      <w:r w:rsidR="00212D1E" w:rsidRPr="00664249">
        <w:rPr>
          <w:rFonts w:cs="Arial"/>
          <w:sz w:val="23"/>
          <w:szCs w:val="23"/>
        </w:rPr>
        <w:t>VEINT</w:t>
      </w:r>
      <w:r w:rsidR="004139E6" w:rsidRPr="00664249">
        <w:rPr>
          <w:rFonts w:cs="Arial"/>
          <w:sz w:val="23"/>
          <w:szCs w:val="23"/>
        </w:rPr>
        <w:t>I</w:t>
      </w:r>
      <w:r w:rsidR="00E4665D" w:rsidRPr="00664249">
        <w:rPr>
          <w:rFonts w:cs="Arial"/>
          <w:sz w:val="23"/>
          <w:szCs w:val="23"/>
        </w:rPr>
        <w:t>TRÉS</w:t>
      </w:r>
      <w:r w:rsidRPr="00664249">
        <w:rPr>
          <w:rFonts w:cs="Arial"/>
          <w:sz w:val="23"/>
          <w:szCs w:val="23"/>
        </w:rPr>
        <w:t>.</w:t>
      </w:r>
    </w:p>
    <w:p w14:paraId="76FE66A4" w14:textId="77777777" w:rsidR="00683159" w:rsidRPr="00664249" w:rsidRDefault="00683159" w:rsidP="00D90C9F">
      <w:pPr>
        <w:pStyle w:val="Sinespaciado"/>
        <w:rPr>
          <w:rFonts w:ascii="Arial" w:hAnsi="Arial" w:cs="Arial"/>
          <w:sz w:val="23"/>
          <w:szCs w:val="23"/>
        </w:rPr>
      </w:pPr>
    </w:p>
    <w:p w14:paraId="18B49173" w14:textId="77777777" w:rsidR="00683159" w:rsidRPr="00664249" w:rsidRDefault="00683159" w:rsidP="00296136">
      <w:pPr>
        <w:pStyle w:val="Ttulo5"/>
        <w:spacing w:before="120" w:after="120" w:line="276" w:lineRule="auto"/>
        <w:rPr>
          <w:rFonts w:ascii="Arial" w:hAnsi="Arial" w:cs="Arial"/>
          <w:sz w:val="23"/>
          <w:szCs w:val="23"/>
          <w:lang w:val="pt-BR"/>
        </w:rPr>
      </w:pPr>
      <w:r w:rsidRPr="00664249">
        <w:rPr>
          <w:rFonts w:ascii="Arial" w:hAnsi="Arial" w:cs="Arial"/>
          <w:sz w:val="23"/>
          <w:szCs w:val="23"/>
          <w:lang w:val="pt-BR"/>
        </w:rPr>
        <w:t>A N T E C E D E N T E S</w:t>
      </w:r>
    </w:p>
    <w:p w14:paraId="623CA398" w14:textId="77777777" w:rsidR="0015778B" w:rsidRPr="00664249" w:rsidRDefault="0015778B" w:rsidP="00D90C9F">
      <w:pPr>
        <w:pStyle w:val="Sinespaciado"/>
        <w:rPr>
          <w:rFonts w:ascii="Arial" w:hAnsi="Arial" w:cs="Arial"/>
          <w:sz w:val="23"/>
          <w:szCs w:val="23"/>
          <w:lang w:val="pt-BR"/>
        </w:rPr>
      </w:pPr>
    </w:p>
    <w:p w14:paraId="4B5CEE9C" w14:textId="6A7525FF" w:rsidR="008B7BCA" w:rsidRPr="00664249" w:rsidRDefault="004139E6" w:rsidP="00296136">
      <w:pPr>
        <w:tabs>
          <w:tab w:val="left" w:pos="284"/>
        </w:tabs>
        <w:spacing w:before="120" w:after="120" w:line="276" w:lineRule="auto"/>
        <w:jc w:val="both"/>
        <w:rPr>
          <w:rFonts w:cs="Arial"/>
          <w:b/>
          <w:sz w:val="23"/>
          <w:szCs w:val="23"/>
        </w:rPr>
      </w:pPr>
      <w:r w:rsidRPr="00664249">
        <w:rPr>
          <w:rFonts w:cs="Arial"/>
          <w:b/>
          <w:sz w:val="23"/>
          <w:szCs w:val="23"/>
        </w:rPr>
        <w:t xml:space="preserve">CORRESPONDIENTE AL AÑO DOS MIL </w:t>
      </w:r>
      <w:r w:rsidR="00535632" w:rsidRPr="00664249">
        <w:rPr>
          <w:rFonts w:cs="Arial"/>
          <w:b/>
          <w:sz w:val="23"/>
          <w:szCs w:val="23"/>
        </w:rPr>
        <w:t>VEINTIDÓS</w:t>
      </w:r>
      <w:r w:rsidR="00167F7F" w:rsidRPr="00664249">
        <w:rPr>
          <w:rFonts w:cs="Arial"/>
          <w:b/>
          <w:sz w:val="23"/>
          <w:szCs w:val="23"/>
        </w:rPr>
        <w:t>.</w:t>
      </w:r>
    </w:p>
    <w:p w14:paraId="473AC232" w14:textId="77777777" w:rsidR="008B7BCA" w:rsidRPr="00664249" w:rsidRDefault="008B7BCA" w:rsidP="00D90C9F">
      <w:pPr>
        <w:pStyle w:val="Sinespaciado"/>
        <w:rPr>
          <w:rFonts w:ascii="Arial" w:hAnsi="Arial" w:cs="Arial"/>
          <w:sz w:val="23"/>
          <w:szCs w:val="23"/>
        </w:rPr>
      </w:pPr>
    </w:p>
    <w:p w14:paraId="38FEE24D" w14:textId="27FB758D" w:rsidR="00E4665D" w:rsidRPr="00664249" w:rsidRDefault="00243C86" w:rsidP="00296136">
      <w:pPr>
        <w:spacing w:before="120" w:after="120" w:line="276" w:lineRule="auto"/>
        <w:jc w:val="both"/>
        <w:rPr>
          <w:rFonts w:cs="Arial"/>
          <w:bCs/>
          <w:sz w:val="23"/>
          <w:szCs w:val="23"/>
        </w:rPr>
      </w:pPr>
      <w:r w:rsidRPr="00664249">
        <w:rPr>
          <w:rFonts w:cs="Arial"/>
          <w:b/>
          <w:bCs/>
          <w:sz w:val="23"/>
          <w:szCs w:val="23"/>
        </w:rPr>
        <w:t xml:space="preserve">PRIMERO. </w:t>
      </w:r>
      <w:r w:rsidR="00E4665D" w:rsidRPr="00664249">
        <w:rPr>
          <w:rFonts w:cs="Arial"/>
          <w:b/>
          <w:bCs/>
          <w:sz w:val="23"/>
          <w:szCs w:val="23"/>
        </w:rPr>
        <w:t xml:space="preserve">APROBACIÓN DEL MONTO DEL FINANCIAMIENTO PÚBLICO LOCAL PARA EL EJERCICIO DOS MIL VEINTITRÉS. </w:t>
      </w:r>
      <w:r w:rsidR="00E4665D" w:rsidRPr="00664249">
        <w:rPr>
          <w:rFonts w:cs="Arial"/>
          <w:bCs/>
          <w:sz w:val="23"/>
          <w:szCs w:val="23"/>
        </w:rPr>
        <w:t xml:space="preserve">El veintisiete de julio, el Consejo General aprobó el acuerdo </w:t>
      </w:r>
      <w:r w:rsidR="00E4665D" w:rsidRPr="00664249">
        <w:rPr>
          <w:rFonts w:cs="Arial"/>
          <w:b/>
          <w:bCs/>
          <w:sz w:val="23"/>
          <w:szCs w:val="23"/>
        </w:rPr>
        <w:t>IEPC-ACG-044/2022</w:t>
      </w:r>
      <w:r w:rsidR="00E4665D" w:rsidRPr="00664249">
        <w:rPr>
          <w:rFonts w:cs="Arial"/>
          <w:bCs/>
          <w:sz w:val="23"/>
          <w:szCs w:val="23"/>
        </w:rPr>
        <w:t xml:space="preserve"> mediante el cual se establece el monto del financiamiento público local que corresponde a los partidos políticos nacionales con acreditación en la entidad federativa, así como los partidos políticos estatales con derecho a recibirlo, para el ejercicio fiscal dos mil veintitrés, y aprueba el calendario oficial para su otorgamiento. </w:t>
      </w:r>
    </w:p>
    <w:p w14:paraId="253C67A3" w14:textId="77777777" w:rsidR="00E4665D" w:rsidRPr="00664249" w:rsidRDefault="00E4665D" w:rsidP="00D90C9F">
      <w:pPr>
        <w:pStyle w:val="Sinespaciado"/>
        <w:rPr>
          <w:rFonts w:ascii="Arial" w:hAnsi="Arial" w:cs="Arial"/>
          <w:sz w:val="23"/>
          <w:szCs w:val="23"/>
        </w:rPr>
      </w:pPr>
    </w:p>
    <w:p w14:paraId="453B89C5" w14:textId="2028AB5F" w:rsidR="00243C86" w:rsidRPr="00664249" w:rsidRDefault="00E4665D" w:rsidP="00296136">
      <w:pPr>
        <w:spacing w:before="120" w:after="120" w:line="276" w:lineRule="auto"/>
        <w:jc w:val="both"/>
        <w:rPr>
          <w:rFonts w:cs="Arial"/>
          <w:bCs/>
          <w:sz w:val="23"/>
          <w:szCs w:val="23"/>
        </w:rPr>
      </w:pPr>
      <w:r w:rsidRPr="00664249">
        <w:rPr>
          <w:rFonts w:cs="Arial"/>
          <w:b/>
          <w:bCs/>
          <w:sz w:val="23"/>
          <w:szCs w:val="23"/>
        </w:rPr>
        <w:t>SEGUNDO.</w:t>
      </w:r>
      <w:r w:rsidRPr="00664249">
        <w:rPr>
          <w:rFonts w:cs="Arial"/>
          <w:b/>
          <w:bCs/>
          <w:sz w:val="23"/>
          <w:szCs w:val="23"/>
        </w:rPr>
        <w:tab/>
        <w:t xml:space="preserve">REFORMA LOCAL EN MATERIA DE FINANCIAMIENTO. </w:t>
      </w:r>
      <w:r w:rsidRPr="00664249">
        <w:rPr>
          <w:rFonts w:cs="Arial"/>
          <w:bCs/>
          <w:sz w:val="23"/>
          <w:szCs w:val="23"/>
        </w:rPr>
        <w:t>El veintisiete de octubre, se publicó en el Periódico Oficial “El Estado de Jalisco”, el Decreto 28826/LXIII/22 que reformó el artículo 13 de la Constitución Política del Estado de Jalisco, relativo a las bases para el cálculo del financiamiento público local para partidos políticos locales y nacionales que hayan obtenido el tres por ciento de la votación válida emitida en el proceso electoral local anterior.</w:t>
      </w:r>
    </w:p>
    <w:p w14:paraId="18211785" w14:textId="77777777" w:rsidR="00243C86" w:rsidRPr="00664249" w:rsidRDefault="00243C86" w:rsidP="00D90C9F">
      <w:pPr>
        <w:pStyle w:val="Sinespaciado"/>
        <w:rPr>
          <w:rFonts w:ascii="Arial" w:hAnsi="Arial" w:cs="Arial"/>
          <w:sz w:val="23"/>
          <w:szCs w:val="23"/>
        </w:rPr>
      </w:pPr>
    </w:p>
    <w:p w14:paraId="394CA669" w14:textId="0A377AE5" w:rsidR="00243C86" w:rsidRPr="00664249" w:rsidRDefault="00E4665D" w:rsidP="00296136">
      <w:pPr>
        <w:spacing w:before="120" w:after="120" w:line="276" w:lineRule="auto"/>
        <w:jc w:val="both"/>
        <w:rPr>
          <w:rFonts w:cs="Arial"/>
          <w:bCs/>
          <w:sz w:val="23"/>
          <w:szCs w:val="23"/>
        </w:rPr>
      </w:pPr>
      <w:r w:rsidRPr="00664249">
        <w:rPr>
          <w:rFonts w:cs="Arial"/>
          <w:b/>
          <w:bCs/>
          <w:sz w:val="23"/>
          <w:szCs w:val="23"/>
        </w:rPr>
        <w:t>TERCERO</w:t>
      </w:r>
      <w:r w:rsidR="00243C86" w:rsidRPr="00664249">
        <w:rPr>
          <w:rFonts w:cs="Arial"/>
          <w:b/>
          <w:bCs/>
          <w:sz w:val="23"/>
          <w:szCs w:val="23"/>
        </w:rPr>
        <w:t>. DISTRIBUCIÓN DE</w:t>
      </w:r>
      <w:r w:rsidRPr="00664249">
        <w:rPr>
          <w:rFonts w:cs="Arial"/>
          <w:b/>
          <w:bCs/>
          <w:sz w:val="23"/>
          <w:szCs w:val="23"/>
        </w:rPr>
        <w:t>L</w:t>
      </w:r>
      <w:r w:rsidR="00243C86" w:rsidRPr="00664249">
        <w:rPr>
          <w:rFonts w:cs="Arial"/>
          <w:b/>
          <w:bCs/>
          <w:sz w:val="23"/>
          <w:szCs w:val="23"/>
        </w:rPr>
        <w:t xml:space="preserve"> FINANCIAMIENTO PÚBLICO PARA EL AÑO DOS MIL </w:t>
      </w:r>
      <w:r w:rsidRPr="00664249">
        <w:rPr>
          <w:rFonts w:cs="Arial"/>
          <w:b/>
          <w:bCs/>
          <w:sz w:val="23"/>
          <w:szCs w:val="23"/>
        </w:rPr>
        <w:t>VEINTITRÉS</w:t>
      </w:r>
      <w:r w:rsidR="00243C86" w:rsidRPr="00664249">
        <w:rPr>
          <w:rFonts w:cs="Arial"/>
          <w:b/>
          <w:bCs/>
          <w:sz w:val="23"/>
          <w:szCs w:val="23"/>
        </w:rPr>
        <w:t xml:space="preserve">. </w:t>
      </w:r>
      <w:r w:rsidR="00243C86" w:rsidRPr="00664249">
        <w:rPr>
          <w:rFonts w:cs="Arial"/>
          <w:bCs/>
          <w:sz w:val="23"/>
          <w:szCs w:val="23"/>
        </w:rPr>
        <w:t xml:space="preserve">El </w:t>
      </w:r>
      <w:r w:rsidR="00535632" w:rsidRPr="00664249">
        <w:rPr>
          <w:rFonts w:cs="Arial"/>
          <w:bCs/>
          <w:sz w:val="23"/>
          <w:szCs w:val="23"/>
        </w:rPr>
        <w:t>diez</w:t>
      </w:r>
      <w:r w:rsidR="00243C86" w:rsidRPr="00664249">
        <w:rPr>
          <w:rFonts w:cs="Arial"/>
          <w:bCs/>
          <w:sz w:val="23"/>
          <w:szCs w:val="23"/>
        </w:rPr>
        <w:t xml:space="preserve"> de </w:t>
      </w:r>
      <w:r w:rsidR="00535632" w:rsidRPr="00664249">
        <w:rPr>
          <w:rFonts w:cs="Arial"/>
          <w:bCs/>
          <w:sz w:val="23"/>
          <w:szCs w:val="23"/>
        </w:rPr>
        <w:t>noviembre</w:t>
      </w:r>
      <w:r w:rsidR="00243C86" w:rsidRPr="00664249">
        <w:rPr>
          <w:rFonts w:cs="Arial"/>
          <w:bCs/>
          <w:sz w:val="23"/>
          <w:szCs w:val="23"/>
        </w:rPr>
        <w:t xml:space="preserve">, mediante acuerdo </w:t>
      </w:r>
      <w:r w:rsidR="00243C86" w:rsidRPr="00664249">
        <w:rPr>
          <w:rFonts w:cs="Arial"/>
          <w:b/>
          <w:bCs/>
          <w:sz w:val="23"/>
          <w:szCs w:val="23"/>
        </w:rPr>
        <w:t>IEPC-ACG-</w:t>
      </w:r>
      <w:r w:rsidR="00535632" w:rsidRPr="00664249">
        <w:rPr>
          <w:rFonts w:cs="Arial"/>
          <w:b/>
          <w:bCs/>
          <w:sz w:val="23"/>
          <w:szCs w:val="23"/>
        </w:rPr>
        <w:t>057</w:t>
      </w:r>
      <w:r w:rsidR="00243C86" w:rsidRPr="00664249">
        <w:rPr>
          <w:rFonts w:cs="Arial"/>
          <w:b/>
          <w:bCs/>
          <w:sz w:val="23"/>
          <w:szCs w:val="23"/>
        </w:rPr>
        <w:t>/202</w:t>
      </w:r>
      <w:r w:rsidR="00535632" w:rsidRPr="00664249">
        <w:rPr>
          <w:rFonts w:cs="Arial"/>
          <w:b/>
          <w:bCs/>
          <w:sz w:val="23"/>
          <w:szCs w:val="23"/>
        </w:rPr>
        <w:t>2</w:t>
      </w:r>
      <w:r w:rsidR="00243C86" w:rsidRPr="00664249">
        <w:rPr>
          <w:rFonts w:cs="Arial"/>
          <w:bCs/>
          <w:sz w:val="23"/>
          <w:szCs w:val="23"/>
        </w:rPr>
        <w:t xml:space="preserve"> este </w:t>
      </w:r>
      <w:r w:rsidR="00433E5C" w:rsidRPr="00664249">
        <w:rPr>
          <w:rFonts w:cs="Arial"/>
          <w:bCs/>
          <w:sz w:val="23"/>
          <w:szCs w:val="23"/>
        </w:rPr>
        <w:t>i</w:t>
      </w:r>
      <w:r w:rsidR="00243C86" w:rsidRPr="00664249">
        <w:rPr>
          <w:rFonts w:cs="Arial"/>
          <w:bCs/>
          <w:sz w:val="23"/>
          <w:szCs w:val="23"/>
        </w:rPr>
        <w:t xml:space="preserve">nstituto electoral local, </w:t>
      </w:r>
      <w:r w:rsidR="00433E5C" w:rsidRPr="00664249">
        <w:rPr>
          <w:rFonts w:cs="Arial"/>
          <w:bCs/>
          <w:sz w:val="23"/>
          <w:szCs w:val="23"/>
        </w:rPr>
        <w:t xml:space="preserve">aprobó </w:t>
      </w:r>
      <w:r w:rsidR="00535632" w:rsidRPr="00664249">
        <w:rPr>
          <w:rFonts w:cs="Arial"/>
          <w:bCs/>
          <w:sz w:val="23"/>
          <w:szCs w:val="23"/>
        </w:rPr>
        <w:t xml:space="preserve">los montos de financiamiento público para los partidos políticos nacionales y locales para actividades ordinarias y específicas, del ejercicio fiscal del año dos mil veintitrés, así como el calendario oficial para su otorgamiento de </w:t>
      </w:r>
      <w:r w:rsidR="00535632" w:rsidRPr="00664249">
        <w:rPr>
          <w:rFonts w:cs="Arial"/>
          <w:bCs/>
          <w:sz w:val="23"/>
          <w:szCs w:val="23"/>
        </w:rPr>
        <w:lastRenderedPageBreak/>
        <w:t>conformidad con lo establecido en el Decreto 28826/LXIII/22; quedando sin efectos el acuerdo IEPC-ACG-044/2022.</w:t>
      </w:r>
    </w:p>
    <w:p w14:paraId="4C98CDBB" w14:textId="77777777" w:rsidR="00243C86" w:rsidRPr="00664249" w:rsidRDefault="00243C86" w:rsidP="00D90C9F">
      <w:pPr>
        <w:pStyle w:val="Sinespaciado"/>
        <w:rPr>
          <w:rFonts w:ascii="Arial" w:hAnsi="Arial" w:cs="Arial"/>
          <w:sz w:val="23"/>
          <w:szCs w:val="23"/>
        </w:rPr>
      </w:pPr>
    </w:p>
    <w:p w14:paraId="26C40928" w14:textId="72347D54" w:rsidR="00D5674E" w:rsidRPr="00664249" w:rsidRDefault="00E4665D" w:rsidP="00296136">
      <w:pPr>
        <w:spacing w:before="120" w:after="120" w:line="276" w:lineRule="auto"/>
        <w:jc w:val="both"/>
        <w:rPr>
          <w:rFonts w:cs="Arial"/>
          <w:bCs/>
          <w:sz w:val="23"/>
          <w:szCs w:val="23"/>
        </w:rPr>
      </w:pPr>
      <w:r w:rsidRPr="00664249">
        <w:rPr>
          <w:rFonts w:cs="Arial"/>
          <w:b/>
          <w:bCs/>
          <w:sz w:val="23"/>
          <w:szCs w:val="23"/>
        </w:rPr>
        <w:t>CUARTO</w:t>
      </w:r>
      <w:r w:rsidR="00724BBA" w:rsidRPr="00664249">
        <w:rPr>
          <w:rFonts w:cs="Arial"/>
          <w:b/>
          <w:bCs/>
          <w:sz w:val="23"/>
          <w:szCs w:val="23"/>
        </w:rPr>
        <w:t>.</w:t>
      </w:r>
      <w:r w:rsidR="00904D65" w:rsidRPr="00664249">
        <w:rPr>
          <w:rFonts w:cs="Arial"/>
          <w:b/>
          <w:bCs/>
          <w:sz w:val="23"/>
          <w:szCs w:val="23"/>
        </w:rPr>
        <w:t xml:space="preserve"> </w:t>
      </w:r>
      <w:r w:rsidR="00AF5EE3" w:rsidRPr="00664249">
        <w:rPr>
          <w:rFonts w:cs="Arial"/>
          <w:b/>
          <w:sz w:val="23"/>
          <w:szCs w:val="23"/>
        </w:rPr>
        <w:t xml:space="preserve">DE LA AUTORIZACIÓN DEL PROYECTO DE ACUERDO POR PARTE DE LA COMISIÓN DE PRERROGATIVAS A PARTIDOS POLÍTICOS. </w:t>
      </w:r>
      <w:r w:rsidR="00AF5EE3" w:rsidRPr="00664249">
        <w:rPr>
          <w:rFonts w:cs="Arial"/>
          <w:bCs/>
          <w:sz w:val="23"/>
          <w:szCs w:val="23"/>
        </w:rPr>
        <w:t xml:space="preserve">El </w:t>
      </w:r>
      <w:r w:rsidR="007C67DE" w:rsidRPr="00664249">
        <w:rPr>
          <w:rFonts w:cs="Arial"/>
          <w:bCs/>
          <w:sz w:val="23"/>
          <w:szCs w:val="23"/>
        </w:rPr>
        <w:t>12</w:t>
      </w:r>
      <w:r w:rsidR="00AF5EE3" w:rsidRPr="00664249">
        <w:rPr>
          <w:rFonts w:cs="Arial"/>
          <w:bCs/>
          <w:sz w:val="23"/>
          <w:szCs w:val="23"/>
        </w:rPr>
        <w:t xml:space="preserve"> de diciembre, la Comisión de Prerrogativas a Partidos Políticos autorizó poner a consideración del Consejo General el proyecto de acuerdo que determina los montos sobre los límites anuales de financiamiento privado que podrán percibir los partidos políticos nacionales con acreditación en el estado de Jalisco y los partidos políticos locales registrados ante este Instituto, durante el año dos mil veintitrés.</w:t>
      </w:r>
    </w:p>
    <w:p w14:paraId="00E078EE" w14:textId="77777777" w:rsidR="00904D65" w:rsidRPr="00664249" w:rsidRDefault="00904D65" w:rsidP="00D90C9F">
      <w:pPr>
        <w:pStyle w:val="Sinespaciado"/>
        <w:rPr>
          <w:rFonts w:ascii="Arial" w:hAnsi="Arial" w:cs="Arial"/>
          <w:sz w:val="23"/>
          <w:szCs w:val="23"/>
          <w:lang w:val="pt-BR"/>
        </w:rPr>
      </w:pPr>
    </w:p>
    <w:p w14:paraId="3E8BF603" w14:textId="77777777" w:rsidR="00683159" w:rsidRPr="00664249" w:rsidRDefault="00683159" w:rsidP="00296136">
      <w:pPr>
        <w:pStyle w:val="Textoindependiente"/>
        <w:spacing w:before="120" w:after="120" w:line="276" w:lineRule="auto"/>
        <w:ind w:firstLine="15"/>
        <w:jc w:val="center"/>
        <w:rPr>
          <w:rFonts w:cs="Arial"/>
          <w:sz w:val="23"/>
          <w:szCs w:val="23"/>
          <w:lang w:val="pt-BR"/>
        </w:rPr>
      </w:pPr>
      <w:r w:rsidRPr="00664249">
        <w:rPr>
          <w:rFonts w:cs="Arial"/>
          <w:sz w:val="23"/>
          <w:szCs w:val="23"/>
          <w:lang w:val="pt-BR"/>
        </w:rPr>
        <w:t>C O N S I D E R A N D O</w:t>
      </w:r>
    </w:p>
    <w:p w14:paraId="1A69A9BC" w14:textId="77777777" w:rsidR="00683159" w:rsidRPr="00664249" w:rsidRDefault="00683159" w:rsidP="00D90C9F">
      <w:pPr>
        <w:pStyle w:val="Sinespaciado"/>
        <w:rPr>
          <w:rFonts w:ascii="Arial" w:hAnsi="Arial" w:cs="Arial"/>
          <w:sz w:val="23"/>
          <w:szCs w:val="23"/>
          <w:lang w:val="pt-BR"/>
        </w:rPr>
      </w:pPr>
    </w:p>
    <w:p w14:paraId="3B317D2D" w14:textId="771A684A" w:rsidR="00B74616" w:rsidRPr="00664249" w:rsidRDefault="00B74616" w:rsidP="00296136">
      <w:pPr>
        <w:pStyle w:val="Sinespaciado"/>
        <w:spacing w:before="120" w:after="120" w:line="276" w:lineRule="auto"/>
        <w:jc w:val="both"/>
        <w:rPr>
          <w:rFonts w:ascii="Arial" w:hAnsi="Arial" w:cs="Arial"/>
          <w:sz w:val="23"/>
          <w:szCs w:val="23"/>
          <w:lang w:val="es-ES_tradnl"/>
        </w:rPr>
      </w:pPr>
      <w:r w:rsidRPr="00664249">
        <w:rPr>
          <w:rFonts w:ascii="Arial" w:hAnsi="Arial" w:cs="Arial"/>
          <w:b/>
          <w:sz w:val="23"/>
          <w:szCs w:val="23"/>
          <w:lang w:val="es-ES_tradnl"/>
        </w:rPr>
        <w:t>I. INSTITUTO ELECTORAL Y DE PARTICIPACIÓN CIUDADANA DEL ESTADO DE JALISCO.</w:t>
      </w:r>
      <w:r w:rsidRPr="00664249">
        <w:rPr>
          <w:rFonts w:ascii="Arial" w:hAnsi="Arial" w:cs="Arial"/>
          <w:sz w:val="23"/>
          <w:szCs w:val="23"/>
          <w:lang w:val="es-ES_tradnl"/>
        </w:rPr>
        <w:t xml:space="preserve"> Esta institución administrativa electoral es un organismo público local electoral, de carácter permanente, autónomo en su funcionamiento, independiente en sus decisiones, profesional en su desempeño, autoridad en la materia y dotado de personalidad jurídica y patrimonio propios, que tiene como objetivos, entre otros, vigilar en el ámbito electoral el cumplimiento de la Constitución General de la República, la Constitución local y las leyes que se derivan de ambas, de conformidad con los artículos 41, base V, apartado C; y 116, base IV, incisos c) y </w:t>
      </w:r>
      <w:r w:rsidR="00433E5C" w:rsidRPr="00664249">
        <w:rPr>
          <w:rFonts w:ascii="Arial" w:hAnsi="Arial" w:cs="Arial"/>
          <w:sz w:val="23"/>
          <w:szCs w:val="23"/>
          <w:lang w:val="es-ES_tradnl"/>
        </w:rPr>
        <w:t>h</w:t>
      </w:r>
      <w:r w:rsidRPr="00664249">
        <w:rPr>
          <w:rFonts w:ascii="Arial" w:hAnsi="Arial" w:cs="Arial"/>
          <w:sz w:val="23"/>
          <w:szCs w:val="23"/>
          <w:lang w:val="es-ES_tradnl"/>
        </w:rPr>
        <w:t>) de la Constitución Política de los Estados Unidos Mexicanos; 12, Base IV de la Constitución Política del Estado de Jalisco; 115 y 116, párrafo 1 del Código Electoral del Estado de Jalisco.</w:t>
      </w:r>
    </w:p>
    <w:p w14:paraId="749C096D" w14:textId="77777777" w:rsidR="00B74616" w:rsidRPr="00664249" w:rsidRDefault="00B74616" w:rsidP="00D90C9F">
      <w:pPr>
        <w:pStyle w:val="Sinespaciado"/>
        <w:rPr>
          <w:rFonts w:ascii="Arial" w:hAnsi="Arial" w:cs="Arial"/>
          <w:sz w:val="23"/>
          <w:szCs w:val="23"/>
        </w:rPr>
      </w:pPr>
    </w:p>
    <w:p w14:paraId="212291E3" w14:textId="6B2B90AC" w:rsidR="00B74616" w:rsidRPr="00664249" w:rsidRDefault="00B74616" w:rsidP="00296136">
      <w:pPr>
        <w:pStyle w:val="Sinespaciado"/>
        <w:spacing w:before="120" w:after="120" w:line="276" w:lineRule="auto"/>
        <w:jc w:val="both"/>
        <w:rPr>
          <w:rFonts w:ascii="Arial" w:hAnsi="Arial" w:cs="Arial"/>
          <w:color w:val="000000"/>
          <w:sz w:val="23"/>
          <w:szCs w:val="23"/>
          <w:lang w:val="es-ES_tradnl"/>
        </w:rPr>
      </w:pPr>
      <w:r w:rsidRPr="00664249">
        <w:rPr>
          <w:rFonts w:ascii="Arial" w:hAnsi="Arial" w:cs="Arial"/>
          <w:b/>
          <w:sz w:val="23"/>
          <w:szCs w:val="23"/>
          <w:lang w:val="es-ES_tradnl"/>
        </w:rPr>
        <w:t>II. CONSEJO GENERAL.</w:t>
      </w:r>
      <w:r w:rsidRPr="00664249">
        <w:rPr>
          <w:rFonts w:ascii="Arial" w:hAnsi="Arial" w:cs="Arial"/>
          <w:sz w:val="23"/>
          <w:szCs w:val="23"/>
          <w:lang w:val="es-ES_tradnl"/>
        </w:rPr>
        <w:t xml:space="preserve"> El órgano superior de dirección del Instituto es el Consejo General, responsable de cumplir las disposiciones constitucionales y legales en materia electoral, así como velar para que los principios de certeza, legalidad, independencia, imparcialidad, objetividad, máxima publicidad y perspectiva de género, guíen todas sus actividades y dentro de sus atribuciones se encuentran </w:t>
      </w:r>
      <w:r w:rsidRPr="00664249">
        <w:rPr>
          <w:rFonts w:ascii="Arial" w:hAnsi="Arial" w:cs="Arial"/>
          <w:color w:val="000000"/>
          <w:sz w:val="23"/>
          <w:szCs w:val="23"/>
          <w:lang w:val="es-ES_tradnl"/>
        </w:rPr>
        <w:t xml:space="preserve">dictar los acuerdos necesarios para hacer efectivas sus atribuciones y vigilar el cumplimiento de la legislación electoral y las disposiciones que con base en ella se dicten, así como determinar con base en la Constitución Política del Estado, las leyes aplicables y el Código Electoral el monto de financiamiento público que corresponda a los partidos políticos, de conformidad con lo </w:t>
      </w:r>
      <w:r w:rsidRPr="00664249">
        <w:rPr>
          <w:rFonts w:ascii="Arial" w:hAnsi="Arial" w:cs="Arial"/>
          <w:color w:val="000000"/>
          <w:sz w:val="23"/>
          <w:szCs w:val="23"/>
          <w:lang w:val="es-ES_tradnl"/>
        </w:rPr>
        <w:lastRenderedPageBreak/>
        <w:t>dispuesto por los artículos 12, bases I y IV, así como  120, 134, párrafo 1, fracciones VIII, IX y LII</w:t>
      </w:r>
      <w:r w:rsidR="006B405F" w:rsidRPr="00664249">
        <w:rPr>
          <w:rFonts w:ascii="Arial" w:hAnsi="Arial" w:cs="Arial"/>
          <w:color w:val="000000"/>
          <w:sz w:val="23"/>
          <w:szCs w:val="23"/>
          <w:lang w:val="es-ES_tradnl"/>
        </w:rPr>
        <w:t xml:space="preserve"> </w:t>
      </w:r>
      <w:r w:rsidRPr="00664249">
        <w:rPr>
          <w:rFonts w:ascii="Arial" w:hAnsi="Arial" w:cs="Arial"/>
          <w:color w:val="000000"/>
          <w:sz w:val="23"/>
          <w:szCs w:val="23"/>
          <w:lang w:val="es-ES_tradnl"/>
        </w:rPr>
        <w:t>del Código Electoral local.</w:t>
      </w:r>
    </w:p>
    <w:p w14:paraId="59555399" w14:textId="77777777" w:rsidR="00AF5EE3" w:rsidRPr="00664249" w:rsidRDefault="00AF5EE3" w:rsidP="00D90C9F">
      <w:pPr>
        <w:pStyle w:val="Sinespaciado"/>
        <w:rPr>
          <w:rFonts w:ascii="Arial" w:hAnsi="Arial" w:cs="Arial"/>
          <w:sz w:val="23"/>
          <w:szCs w:val="23"/>
        </w:rPr>
      </w:pPr>
    </w:p>
    <w:p w14:paraId="0DCC7DF6" w14:textId="7D75C678" w:rsidR="00AF5EE3" w:rsidRPr="00664249" w:rsidRDefault="00AF5EE3" w:rsidP="00296136">
      <w:pPr>
        <w:pStyle w:val="Sinespaciado"/>
        <w:spacing w:before="120" w:after="120" w:line="276" w:lineRule="auto"/>
        <w:jc w:val="both"/>
        <w:rPr>
          <w:rFonts w:ascii="Arial" w:hAnsi="Arial" w:cs="Arial"/>
          <w:bCs/>
          <w:color w:val="000000"/>
          <w:sz w:val="23"/>
          <w:szCs w:val="23"/>
          <w:lang w:val="es-ES_tradnl"/>
        </w:rPr>
      </w:pPr>
      <w:r w:rsidRPr="00664249">
        <w:rPr>
          <w:rFonts w:ascii="Arial" w:hAnsi="Arial" w:cs="Arial"/>
          <w:b/>
          <w:sz w:val="23"/>
          <w:szCs w:val="23"/>
        </w:rPr>
        <w:t>III. DE LAS COMISIONES INTERNAS DEL INSTITUTO ELECTORAL.</w:t>
      </w:r>
      <w:r w:rsidRPr="00664249">
        <w:rPr>
          <w:rFonts w:ascii="Arial" w:hAnsi="Arial" w:cs="Arial"/>
          <w:sz w:val="23"/>
          <w:szCs w:val="23"/>
        </w:rPr>
        <w:t xml:space="preserve"> </w:t>
      </w:r>
      <w:r w:rsidRPr="00664249">
        <w:rPr>
          <w:rFonts w:ascii="Arial" w:hAnsi="Arial" w:cs="Arial"/>
          <w:bCs/>
          <w:color w:val="000000"/>
          <w:sz w:val="23"/>
          <w:szCs w:val="23"/>
          <w:lang w:val="es-ES_tradnl"/>
        </w:rPr>
        <w:t xml:space="preserve">De conformidad con los artículos 118, párrafo 1, fracción III y 136, párrafos 1 y 2 del Código Electoral del Estado de Jalisco; 4 párrafo </w:t>
      </w:r>
      <w:r w:rsidR="00DD778B" w:rsidRPr="00664249">
        <w:rPr>
          <w:rFonts w:ascii="Arial" w:hAnsi="Arial" w:cs="Arial"/>
          <w:bCs/>
          <w:color w:val="000000"/>
          <w:sz w:val="23"/>
          <w:szCs w:val="23"/>
          <w:lang w:val="es-ES_tradnl"/>
        </w:rPr>
        <w:t>3</w:t>
      </w:r>
      <w:r w:rsidRPr="00664249">
        <w:rPr>
          <w:rFonts w:ascii="Arial" w:hAnsi="Arial" w:cs="Arial"/>
          <w:bCs/>
          <w:color w:val="000000"/>
          <w:sz w:val="23"/>
          <w:szCs w:val="23"/>
          <w:lang w:val="es-ES_tradnl"/>
        </w:rPr>
        <w:t xml:space="preserve">, </w:t>
      </w:r>
      <w:r w:rsidR="00DD778B" w:rsidRPr="00664249">
        <w:rPr>
          <w:rFonts w:ascii="Arial" w:hAnsi="Arial" w:cs="Arial"/>
          <w:bCs/>
          <w:color w:val="000000"/>
          <w:sz w:val="23"/>
          <w:szCs w:val="23"/>
          <w:lang w:val="es-ES_tradnl"/>
        </w:rPr>
        <w:t xml:space="preserve">inciso d) </w:t>
      </w:r>
      <w:r w:rsidRPr="00664249">
        <w:rPr>
          <w:rFonts w:ascii="Arial" w:hAnsi="Arial" w:cs="Arial"/>
          <w:bCs/>
          <w:color w:val="000000"/>
          <w:sz w:val="23"/>
          <w:szCs w:val="23"/>
          <w:lang w:val="es-ES_tradnl"/>
        </w:rPr>
        <w:t>fracción</w:t>
      </w:r>
      <w:r w:rsidR="00DD778B" w:rsidRPr="00664249">
        <w:rPr>
          <w:rFonts w:ascii="Arial" w:hAnsi="Arial" w:cs="Arial"/>
          <w:bCs/>
          <w:color w:val="000000"/>
          <w:sz w:val="23"/>
          <w:szCs w:val="23"/>
          <w:lang w:val="es-ES_tradnl"/>
        </w:rPr>
        <w:t xml:space="preserve"> V</w:t>
      </w:r>
      <w:r w:rsidRPr="00664249">
        <w:rPr>
          <w:rFonts w:ascii="Arial" w:hAnsi="Arial" w:cs="Arial"/>
          <w:bCs/>
          <w:color w:val="000000"/>
          <w:sz w:val="23"/>
          <w:szCs w:val="23"/>
          <w:lang w:val="es-ES_tradnl"/>
        </w:rPr>
        <w:t xml:space="preserve">,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71281AC3" w14:textId="77777777" w:rsidR="00D90C9F" w:rsidRPr="00664249" w:rsidRDefault="00D90C9F" w:rsidP="00296136">
      <w:pPr>
        <w:pStyle w:val="Sinespaciado"/>
        <w:spacing w:before="120" w:after="120" w:line="276" w:lineRule="auto"/>
        <w:jc w:val="both"/>
        <w:rPr>
          <w:rFonts w:ascii="Arial" w:hAnsi="Arial" w:cs="Arial"/>
          <w:sz w:val="23"/>
          <w:szCs w:val="23"/>
        </w:rPr>
      </w:pPr>
    </w:p>
    <w:p w14:paraId="7909048E" w14:textId="76B9EEE4" w:rsidR="00AF5EE3" w:rsidRPr="00664249" w:rsidRDefault="00AF5EE3" w:rsidP="00296136">
      <w:pPr>
        <w:pStyle w:val="Sinespaciado"/>
        <w:spacing w:before="120" w:after="120" w:line="276" w:lineRule="auto"/>
        <w:jc w:val="both"/>
        <w:rPr>
          <w:rFonts w:ascii="Arial" w:hAnsi="Arial" w:cs="Arial"/>
          <w:sz w:val="23"/>
          <w:szCs w:val="23"/>
        </w:rPr>
      </w:pPr>
      <w:r w:rsidRPr="00664249">
        <w:rPr>
          <w:rFonts w:ascii="Arial" w:hAnsi="Arial" w:cs="Arial"/>
          <w:sz w:val="23"/>
          <w:szCs w:val="23"/>
        </w:rPr>
        <w:t>La Comisión de Prerrogativas a Partidos Políticos, funciona de forma permanente y cuenta con las atribuciones señaladas en el artículo 37 del Reglamento Interior de este organismo electoral.</w:t>
      </w:r>
    </w:p>
    <w:p w14:paraId="560E981D" w14:textId="77777777" w:rsidR="006B405F" w:rsidRPr="00664249" w:rsidRDefault="006B405F" w:rsidP="00D90C9F">
      <w:pPr>
        <w:pStyle w:val="Sinespaciado"/>
        <w:rPr>
          <w:rFonts w:ascii="Arial" w:hAnsi="Arial" w:cs="Arial"/>
          <w:sz w:val="23"/>
          <w:szCs w:val="23"/>
        </w:rPr>
      </w:pPr>
    </w:p>
    <w:p w14:paraId="238137D8" w14:textId="7025D2FB" w:rsidR="00B74616" w:rsidRPr="00664249" w:rsidRDefault="00B74616" w:rsidP="00296136">
      <w:pPr>
        <w:pStyle w:val="Sinespaciado"/>
        <w:spacing w:before="120" w:after="120" w:line="276" w:lineRule="auto"/>
        <w:jc w:val="both"/>
        <w:rPr>
          <w:rFonts w:ascii="Arial" w:hAnsi="Arial" w:cs="Arial"/>
          <w:bCs/>
          <w:color w:val="000000"/>
          <w:sz w:val="23"/>
          <w:szCs w:val="23"/>
          <w:lang w:val="es-ES_tradnl"/>
        </w:rPr>
      </w:pPr>
      <w:r w:rsidRPr="00664249">
        <w:rPr>
          <w:rFonts w:ascii="Arial" w:hAnsi="Arial" w:cs="Arial"/>
          <w:b/>
          <w:bCs/>
          <w:color w:val="000000"/>
          <w:sz w:val="23"/>
          <w:szCs w:val="23"/>
          <w:lang w:val="es-ES_tradnl"/>
        </w:rPr>
        <w:t>I</w:t>
      </w:r>
      <w:r w:rsidR="00AF5EE3" w:rsidRPr="00664249">
        <w:rPr>
          <w:rFonts w:ascii="Arial" w:hAnsi="Arial" w:cs="Arial"/>
          <w:b/>
          <w:bCs/>
          <w:color w:val="000000"/>
          <w:sz w:val="23"/>
          <w:szCs w:val="23"/>
          <w:lang w:val="es-ES_tradnl"/>
        </w:rPr>
        <w:t>V</w:t>
      </w:r>
      <w:r w:rsidRPr="00664249">
        <w:rPr>
          <w:rFonts w:ascii="Arial" w:hAnsi="Arial" w:cs="Arial"/>
          <w:b/>
          <w:bCs/>
          <w:color w:val="000000"/>
          <w:sz w:val="23"/>
          <w:szCs w:val="23"/>
          <w:lang w:val="es-ES_tradnl"/>
        </w:rPr>
        <w:t xml:space="preserve">. MATERIA DEL PRESENTE ACUERDO. </w:t>
      </w:r>
      <w:r w:rsidRPr="00664249">
        <w:rPr>
          <w:rFonts w:ascii="Arial" w:hAnsi="Arial" w:cs="Arial"/>
          <w:bCs/>
          <w:color w:val="000000"/>
          <w:sz w:val="23"/>
          <w:szCs w:val="23"/>
          <w:lang w:val="es-ES_tradnl"/>
        </w:rPr>
        <w:t xml:space="preserve">El objeto del presente acuerdo es </w:t>
      </w:r>
      <w:r w:rsidR="00D4415F" w:rsidRPr="00664249">
        <w:rPr>
          <w:rFonts w:ascii="Arial" w:hAnsi="Arial" w:cs="Arial"/>
          <w:bCs/>
          <w:color w:val="000000"/>
          <w:sz w:val="23"/>
          <w:szCs w:val="23"/>
          <w:lang w:val="es-ES_tradnl"/>
        </w:rPr>
        <w:t>determina</w:t>
      </w:r>
      <w:r w:rsidR="00EB2052" w:rsidRPr="00664249">
        <w:rPr>
          <w:rFonts w:ascii="Arial" w:hAnsi="Arial" w:cs="Arial"/>
          <w:bCs/>
          <w:color w:val="000000"/>
          <w:sz w:val="23"/>
          <w:szCs w:val="23"/>
          <w:lang w:val="es-ES_tradnl"/>
        </w:rPr>
        <w:t>r</w:t>
      </w:r>
      <w:r w:rsidR="00D4415F" w:rsidRPr="00664249">
        <w:rPr>
          <w:rFonts w:ascii="Arial" w:hAnsi="Arial" w:cs="Arial"/>
          <w:bCs/>
          <w:color w:val="000000"/>
          <w:sz w:val="23"/>
          <w:szCs w:val="23"/>
          <w:lang w:val="es-ES_tradnl"/>
        </w:rPr>
        <w:t xml:space="preserve"> los montos sobre los límites anuales de financiamiento privado que podrán percibir los partidos políticos nacionales con acreditación en el estado de Jalisco y los partidos políticos locales con registro ante este Instituto, durante el año dos m</w:t>
      </w:r>
      <w:r w:rsidR="00421ED6" w:rsidRPr="00664249">
        <w:rPr>
          <w:rFonts w:ascii="Arial" w:hAnsi="Arial" w:cs="Arial"/>
          <w:bCs/>
          <w:color w:val="000000"/>
          <w:sz w:val="23"/>
          <w:szCs w:val="23"/>
          <w:lang w:val="es-ES_tradnl"/>
        </w:rPr>
        <w:t>il veintitrés</w:t>
      </w:r>
      <w:r w:rsidR="00D4415F" w:rsidRPr="00664249">
        <w:rPr>
          <w:rFonts w:ascii="Arial" w:hAnsi="Arial" w:cs="Arial"/>
          <w:bCs/>
          <w:color w:val="000000"/>
          <w:sz w:val="23"/>
          <w:szCs w:val="23"/>
          <w:lang w:val="es-ES_tradnl"/>
        </w:rPr>
        <w:t xml:space="preserve">, acorde con lo establecido en el </w:t>
      </w:r>
      <w:r w:rsidR="00AF5EE3" w:rsidRPr="00664249">
        <w:rPr>
          <w:rFonts w:ascii="Arial" w:hAnsi="Arial" w:cs="Arial"/>
          <w:bCs/>
          <w:color w:val="000000"/>
          <w:sz w:val="23"/>
          <w:szCs w:val="23"/>
          <w:lang w:val="es-ES_tradnl"/>
        </w:rPr>
        <w:t>a</w:t>
      </w:r>
      <w:r w:rsidR="00D4415F" w:rsidRPr="00664249">
        <w:rPr>
          <w:rFonts w:ascii="Arial" w:hAnsi="Arial" w:cs="Arial"/>
          <w:bCs/>
          <w:color w:val="000000"/>
          <w:sz w:val="23"/>
          <w:szCs w:val="23"/>
          <w:lang w:val="es-ES_tradnl"/>
        </w:rPr>
        <w:t>cuerdo IEPC-ACG-057/2022</w:t>
      </w:r>
      <w:r w:rsidR="00DD778B" w:rsidRPr="00664249">
        <w:rPr>
          <w:rFonts w:ascii="Arial" w:hAnsi="Arial" w:cs="Arial"/>
          <w:bCs/>
          <w:color w:val="000000"/>
          <w:sz w:val="23"/>
          <w:szCs w:val="23"/>
          <w:lang w:val="es-ES_tradnl"/>
        </w:rPr>
        <w:t xml:space="preserve"> del Consejo General, indicado en el antecedente TERCERO del presente acuerdo</w:t>
      </w:r>
      <w:r w:rsidRPr="00664249">
        <w:rPr>
          <w:rFonts w:ascii="Arial" w:hAnsi="Arial" w:cs="Arial"/>
          <w:bCs/>
          <w:color w:val="000000"/>
          <w:sz w:val="23"/>
          <w:szCs w:val="23"/>
          <w:lang w:val="es-ES_tradnl"/>
        </w:rPr>
        <w:t xml:space="preserve">. </w:t>
      </w:r>
    </w:p>
    <w:p w14:paraId="2F48217A" w14:textId="77777777" w:rsidR="00B74616" w:rsidRPr="00664249" w:rsidRDefault="00B74616" w:rsidP="00D90C9F">
      <w:pPr>
        <w:pStyle w:val="Sinespaciado"/>
        <w:rPr>
          <w:rFonts w:ascii="Arial" w:hAnsi="Arial" w:cs="Arial"/>
          <w:sz w:val="23"/>
          <w:szCs w:val="23"/>
        </w:rPr>
      </w:pPr>
    </w:p>
    <w:p w14:paraId="7636844A" w14:textId="08EE70F9" w:rsidR="00683159" w:rsidRPr="00664249" w:rsidRDefault="008B7CBE" w:rsidP="00296136">
      <w:pPr>
        <w:suppressAutoHyphens/>
        <w:spacing w:before="120" w:after="120" w:line="276" w:lineRule="auto"/>
        <w:jc w:val="both"/>
        <w:rPr>
          <w:rFonts w:cs="Arial"/>
          <w:bCs/>
          <w:kern w:val="0"/>
          <w:sz w:val="23"/>
          <w:szCs w:val="23"/>
          <w:lang w:eastAsia="ar-SA"/>
        </w:rPr>
      </w:pPr>
      <w:r w:rsidRPr="00664249">
        <w:rPr>
          <w:rFonts w:cs="Arial"/>
          <w:b/>
          <w:bCs/>
          <w:kern w:val="0"/>
          <w:sz w:val="23"/>
          <w:szCs w:val="23"/>
          <w:lang w:eastAsia="ar-SA"/>
        </w:rPr>
        <w:t>V</w:t>
      </w:r>
      <w:r w:rsidR="00683159" w:rsidRPr="00664249">
        <w:rPr>
          <w:rFonts w:cs="Arial"/>
          <w:b/>
          <w:bCs/>
          <w:kern w:val="0"/>
          <w:sz w:val="23"/>
          <w:szCs w:val="23"/>
          <w:lang w:eastAsia="ar-SA"/>
        </w:rPr>
        <w:t xml:space="preserve">. DE LOS DERECHOS DE LOS PARTIDOS POLÍTICOS. </w:t>
      </w:r>
      <w:r w:rsidR="00683159" w:rsidRPr="00664249">
        <w:rPr>
          <w:rFonts w:cs="Arial"/>
          <w:bCs/>
          <w:kern w:val="0"/>
          <w:sz w:val="23"/>
          <w:szCs w:val="23"/>
          <w:lang w:eastAsia="ar-SA"/>
        </w:rPr>
        <w:t>Que los partidos políticos tienen derecho de acceder a las prerrogativas y recibir el financiamiento público para el cumplimiento de sus fines, entre los que se encuentran las</w:t>
      </w:r>
      <w:r w:rsidR="00683159" w:rsidRPr="00664249">
        <w:rPr>
          <w:rFonts w:cs="Arial"/>
          <w:kern w:val="0"/>
          <w:sz w:val="23"/>
          <w:szCs w:val="23"/>
          <w:lang w:eastAsia="ar-SA"/>
        </w:rPr>
        <w:t xml:space="preserve"> actividades tendientes a la obtención del voto en año de elecciones, </w:t>
      </w:r>
      <w:r w:rsidR="00683159" w:rsidRPr="00664249">
        <w:rPr>
          <w:rFonts w:cs="Arial"/>
          <w:bCs/>
          <w:kern w:val="0"/>
          <w:sz w:val="23"/>
          <w:szCs w:val="23"/>
          <w:lang w:eastAsia="ar-SA"/>
        </w:rPr>
        <w:t>de conformidad con lo establecido en los artículos 13, fracción IV de la Constitución Política Local y 23, párrafo 1, inciso d) de la Ley</w:t>
      </w:r>
      <w:r w:rsidR="00B74616" w:rsidRPr="00664249">
        <w:rPr>
          <w:rFonts w:cs="Arial"/>
          <w:bCs/>
          <w:kern w:val="0"/>
          <w:sz w:val="23"/>
          <w:szCs w:val="23"/>
          <w:lang w:eastAsia="ar-SA"/>
        </w:rPr>
        <w:t xml:space="preserve"> General de Partidos Políticos.</w:t>
      </w:r>
    </w:p>
    <w:p w14:paraId="247E13B4" w14:textId="77777777" w:rsidR="00683159" w:rsidRPr="00664249" w:rsidRDefault="00683159" w:rsidP="00D90C9F">
      <w:pPr>
        <w:pStyle w:val="Sinespaciado"/>
        <w:rPr>
          <w:rFonts w:ascii="Arial" w:hAnsi="Arial" w:cs="Arial"/>
          <w:sz w:val="23"/>
          <w:szCs w:val="23"/>
        </w:rPr>
      </w:pPr>
    </w:p>
    <w:p w14:paraId="13C6ADF2" w14:textId="3E70AB2B" w:rsidR="00683159" w:rsidRPr="00664249" w:rsidRDefault="00683159" w:rsidP="00296136">
      <w:pPr>
        <w:spacing w:before="120" w:after="120" w:line="276" w:lineRule="auto"/>
        <w:jc w:val="both"/>
        <w:rPr>
          <w:rFonts w:cs="Arial"/>
          <w:sz w:val="23"/>
          <w:szCs w:val="23"/>
        </w:rPr>
      </w:pPr>
      <w:r w:rsidRPr="00664249">
        <w:rPr>
          <w:rFonts w:cs="Arial"/>
          <w:b/>
          <w:sz w:val="23"/>
          <w:szCs w:val="23"/>
        </w:rPr>
        <w:t>V</w:t>
      </w:r>
      <w:r w:rsidR="00AF5EE3" w:rsidRPr="00664249">
        <w:rPr>
          <w:rFonts w:cs="Arial"/>
          <w:b/>
          <w:sz w:val="23"/>
          <w:szCs w:val="23"/>
        </w:rPr>
        <w:t>I</w:t>
      </w:r>
      <w:r w:rsidRPr="00664249">
        <w:rPr>
          <w:rFonts w:cs="Arial"/>
          <w:b/>
          <w:sz w:val="23"/>
          <w:szCs w:val="23"/>
        </w:rPr>
        <w:t xml:space="preserve">. DEL FINANCIAMIENTO DE LOS PARTIDOS POLÍTICOS. </w:t>
      </w:r>
      <w:r w:rsidRPr="00664249">
        <w:rPr>
          <w:rFonts w:cs="Arial"/>
          <w:sz w:val="23"/>
          <w:szCs w:val="23"/>
        </w:rPr>
        <w:t xml:space="preserve">Que el artículo 89, párrafo </w:t>
      </w:r>
      <w:r w:rsidR="00EE39FA" w:rsidRPr="00664249">
        <w:rPr>
          <w:rFonts w:cs="Arial"/>
          <w:sz w:val="23"/>
          <w:szCs w:val="23"/>
        </w:rPr>
        <w:t>2</w:t>
      </w:r>
      <w:r w:rsidRPr="00664249">
        <w:rPr>
          <w:rFonts w:cs="Arial"/>
          <w:sz w:val="23"/>
          <w:szCs w:val="23"/>
        </w:rPr>
        <w:t xml:space="preserve"> del Código Electoral del Estado de Jalisco establece que</w:t>
      </w:r>
      <w:r w:rsidR="00352815" w:rsidRPr="00664249">
        <w:rPr>
          <w:rFonts w:cs="Arial"/>
          <w:sz w:val="23"/>
          <w:szCs w:val="23"/>
        </w:rPr>
        <w:t>,</w:t>
      </w:r>
      <w:r w:rsidRPr="00664249">
        <w:rPr>
          <w:rFonts w:cs="Arial"/>
          <w:sz w:val="23"/>
          <w:szCs w:val="23"/>
        </w:rPr>
        <w:t xml:space="preserve"> p</w:t>
      </w:r>
      <w:r w:rsidRPr="00664249">
        <w:rPr>
          <w:rFonts w:cs="Arial"/>
          <w:sz w:val="23"/>
          <w:szCs w:val="23"/>
          <w:lang w:val="es-ES_tradnl"/>
        </w:rPr>
        <w:t xml:space="preserve">ara el financiamiento estatal de los partidos políticos nacionales con acreditación en el estado, se aplicará lo dispuesto en la </w:t>
      </w:r>
      <w:r w:rsidR="00A92926" w:rsidRPr="00664249">
        <w:rPr>
          <w:rFonts w:cs="Arial"/>
          <w:sz w:val="23"/>
          <w:szCs w:val="23"/>
          <w:lang w:val="es-ES_tradnl"/>
        </w:rPr>
        <w:t>Constitución Política del Estado de Jalisco</w:t>
      </w:r>
      <w:r w:rsidRPr="00664249">
        <w:rPr>
          <w:rFonts w:cs="Arial"/>
          <w:sz w:val="23"/>
          <w:szCs w:val="23"/>
          <w:lang w:val="es-ES_tradnl"/>
        </w:rPr>
        <w:t>.</w:t>
      </w:r>
    </w:p>
    <w:p w14:paraId="4899EFA5" w14:textId="77777777" w:rsidR="006B405F" w:rsidRPr="00664249" w:rsidRDefault="006B405F" w:rsidP="00296136">
      <w:pPr>
        <w:spacing w:before="120" w:after="120" w:line="276" w:lineRule="auto"/>
        <w:jc w:val="both"/>
        <w:rPr>
          <w:rFonts w:cs="Arial"/>
          <w:sz w:val="23"/>
          <w:szCs w:val="23"/>
          <w:lang w:val="es-ES_tradnl"/>
        </w:rPr>
      </w:pPr>
    </w:p>
    <w:p w14:paraId="08437E22" w14:textId="1B0FCF8C" w:rsidR="00683159" w:rsidRPr="00664249" w:rsidRDefault="00683159" w:rsidP="00296136">
      <w:pPr>
        <w:spacing w:before="120" w:after="120" w:line="276" w:lineRule="auto"/>
        <w:jc w:val="both"/>
        <w:rPr>
          <w:rFonts w:cs="Arial"/>
          <w:sz w:val="23"/>
          <w:szCs w:val="23"/>
        </w:rPr>
      </w:pPr>
      <w:r w:rsidRPr="00664249">
        <w:rPr>
          <w:rFonts w:cs="Arial"/>
          <w:sz w:val="23"/>
          <w:szCs w:val="23"/>
        </w:rPr>
        <w:t xml:space="preserve">Consecuentemente, cabe señalar que los partidos políticos tendrán derecho al financiamiento público de sus actividades, estructura, sueldos y salarios, independientemente de las demás prerrogativas otorgadas en la ley, conforme a las </w:t>
      </w:r>
      <w:r w:rsidR="00DE44C8" w:rsidRPr="00664249">
        <w:rPr>
          <w:rFonts w:cs="Arial"/>
          <w:sz w:val="23"/>
          <w:szCs w:val="23"/>
        </w:rPr>
        <w:t>dispo</w:t>
      </w:r>
      <w:r w:rsidR="00B60921" w:rsidRPr="00664249">
        <w:rPr>
          <w:rFonts w:cs="Arial"/>
          <w:sz w:val="23"/>
          <w:szCs w:val="23"/>
        </w:rPr>
        <w:t>si</w:t>
      </w:r>
      <w:r w:rsidR="00DE44C8" w:rsidRPr="00664249">
        <w:rPr>
          <w:rFonts w:cs="Arial"/>
          <w:sz w:val="23"/>
          <w:szCs w:val="23"/>
        </w:rPr>
        <w:t>ciones</w:t>
      </w:r>
      <w:r w:rsidRPr="00664249">
        <w:rPr>
          <w:rFonts w:cs="Arial"/>
          <w:sz w:val="23"/>
          <w:szCs w:val="23"/>
        </w:rPr>
        <w:t xml:space="preserve"> siguientes:</w:t>
      </w:r>
    </w:p>
    <w:p w14:paraId="154BE152" w14:textId="77777777" w:rsidR="006B405F" w:rsidRPr="00664249" w:rsidRDefault="006B405F" w:rsidP="00296136">
      <w:pPr>
        <w:spacing w:before="120" w:after="120" w:line="276" w:lineRule="auto"/>
        <w:jc w:val="both"/>
        <w:rPr>
          <w:rFonts w:cs="Arial"/>
          <w:sz w:val="23"/>
          <w:szCs w:val="23"/>
          <w:lang w:val="es-ES"/>
        </w:rPr>
      </w:pPr>
    </w:p>
    <w:p w14:paraId="68561D59" w14:textId="05091AF2" w:rsidR="00683159" w:rsidRPr="00664249" w:rsidRDefault="00683159" w:rsidP="00D90C9F">
      <w:pPr>
        <w:pStyle w:val="Sinespaciado"/>
        <w:numPr>
          <w:ilvl w:val="0"/>
          <w:numId w:val="8"/>
        </w:numPr>
        <w:jc w:val="both"/>
        <w:rPr>
          <w:rFonts w:ascii="Arial" w:hAnsi="Arial" w:cs="Arial"/>
          <w:sz w:val="23"/>
          <w:szCs w:val="23"/>
          <w:lang w:val="es-ES_tradnl"/>
        </w:rPr>
      </w:pPr>
      <w:r w:rsidRPr="00664249">
        <w:rPr>
          <w:rFonts w:ascii="Arial" w:hAnsi="Arial" w:cs="Arial"/>
          <w:sz w:val="23"/>
          <w:szCs w:val="23"/>
          <w:lang w:val="es-ES_tradnl"/>
        </w:rPr>
        <w:t>Para el sostenimiento de actividades ordinarias permanentes.</w:t>
      </w:r>
    </w:p>
    <w:p w14:paraId="4AB0D4F8" w14:textId="45C65A8D" w:rsidR="00683159" w:rsidRPr="00664249" w:rsidRDefault="00683159" w:rsidP="00D90C9F">
      <w:pPr>
        <w:pStyle w:val="Sinespaciado"/>
        <w:numPr>
          <w:ilvl w:val="0"/>
          <w:numId w:val="8"/>
        </w:numPr>
        <w:jc w:val="both"/>
        <w:rPr>
          <w:rFonts w:ascii="Arial" w:hAnsi="Arial" w:cs="Arial"/>
          <w:sz w:val="23"/>
          <w:szCs w:val="23"/>
          <w:lang w:val="es-ES"/>
        </w:rPr>
      </w:pPr>
      <w:r w:rsidRPr="00664249">
        <w:rPr>
          <w:rFonts w:ascii="Arial" w:hAnsi="Arial" w:cs="Arial"/>
          <w:sz w:val="23"/>
          <w:szCs w:val="23"/>
          <w:lang w:val="es-ES"/>
        </w:rPr>
        <w:t>Para gastos de campaña.</w:t>
      </w:r>
    </w:p>
    <w:p w14:paraId="7CE70EAC" w14:textId="624D7C29" w:rsidR="00683159" w:rsidRPr="00664249" w:rsidRDefault="00683159" w:rsidP="00D90C9F">
      <w:pPr>
        <w:pStyle w:val="Sinespaciado"/>
        <w:numPr>
          <w:ilvl w:val="0"/>
          <w:numId w:val="8"/>
        </w:numPr>
        <w:jc w:val="both"/>
        <w:rPr>
          <w:rFonts w:ascii="Arial" w:hAnsi="Arial" w:cs="Arial"/>
          <w:sz w:val="23"/>
          <w:szCs w:val="23"/>
          <w:lang w:val="es-ES"/>
        </w:rPr>
      </w:pPr>
      <w:r w:rsidRPr="00664249">
        <w:rPr>
          <w:rFonts w:ascii="Arial" w:hAnsi="Arial" w:cs="Arial"/>
          <w:sz w:val="23"/>
          <w:szCs w:val="23"/>
          <w:lang w:val="es-ES"/>
        </w:rPr>
        <w:t>Por actividades específicas como entidades de interés público.</w:t>
      </w:r>
    </w:p>
    <w:p w14:paraId="6F8383D9" w14:textId="77777777" w:rsidR="006B405F" w:rsidRPr="00664249" w:rsidRDefault="006B405F" w:rsidP="00296136">
      <w:pPr>
        <w:spacing w:before="120" w:after="120" w:line="276" w:lineRule="auto"/>
        <w:jc w:val="both"/>
        <w:rPr>
          <w:rFonts w:cs="Arial"/>
          <w:sz w:val="23"/>
          <w:szCs w:val="23"/>
          <w:lang w:val="es-ES_tradnl"/>
        </w:rPr>
      </w:pPr>
    </w:p>
    <w:p w14:paraId="4D961E49" w14:textId="7703C963" w:rsidR="001512E8" w:rsidRPr="00664249" w:rsidRDefault="006B405F" w:rsidP="00296136">
      <w:pPr>
        <w:spacing w:before="120" w:after="120" w:line="276" w:lineRule="auto"/>
        <w:jc w:val="both"/>
        <w:rPr>
          <w:rFonts w:cs="Arial"/>
          <w:sz w:val="23"/>
          <w:szCs w:val="23"/>
          <w:lang w:val="es-ES_tradnl"/>
        </w:rPr>
      </w:pPr>
      <w:r w:rsidRPr="00664249">
        <w:rPr>
          <w:rFonts w:cs="Arial"/>
          <w:sz w:val="23"/>
          <w:szCs w:val="23"/>
          <w:lang w:val="es-ES_tradnl"/>
        </w:rPr>
        <w:t xml:space="preserve">Ahora bien, de conformidad con lo establecido en el artículo 89, párrafo 3 del Código Electoral del Estado de Jalisco, </w:t>
      </w:r>
      <w:r w:rsidR="001512E8" w:rsidRPr="00664249">
        <w:rPr>
          <w:rFonts w:cs="Arial"/>
          <w:sz w:val="23"/>
          <w:szCs w:val="23"/>
          <w:lang w:val="es-ES_tradnl"/>
        </w:rPr>
        <w:t>para el financiamiento privado de los partidos políticos nacionales con acreditación y locales con registro en el Estado, se aplicará lo dispuesto por la Ley General de Partidos Políticos.</w:t>
      </w:r>
    </w:p>
    <w:p w14:paraId="0E51A4F1" w14:textId="77777777" w:rsidR="001512E8" w:rsidRPr="00664249" w:rsidRDefault="001512E8" w:rsidP="00296136">
      <w:pPr>
        <w:spacing w:before="120" w:after="120" w:line="276" w:lineRule="auto"/>
        <w:jc w:val="both"/>
        <w:rPr>
          <w:rFonts w:cs="Arial"/>
          <w:sz w:val="23"/>
          <w:szCs w:val="23"/>
          <w:lang w:val="es-ES_tradnl"/>
        </w:rPr>
      </w:pPr>
    </w:p>
    <w:p w14:paraId="532774AF" w14:textId="4D41F115" w:rsidR="00683159" w:rsidRPr="00664249" w:rsidRDefault="001512E8" w:rsidP="00296136">
      <w:pPr>
        <w:spacing w:before="120" w:after="120" w:line="276" w:lineRule="auto"/>
        <w:jc w:val="both"/>
        <w:rPr>
          <w:rFonts w:cs="Arial"/>
          <w:sz w:val="23"/>
          <w:szCs w:val="23"/>
          <w:lang w:val="es-ES"/>
        </w:rPr>
      </w:pPr>
      <w:r w:rsidRPr="00664249">
        <w:rPr>
          <w:rFonts w:cs="Arial"/>
          <w:sz w:val="23"/>
          <w:szCs w:val="23"/>
          <w:lang w:val="es-ES_tradnl"/>
        </w:rPr>
        <w:t>En ese sentido</w:t>
      </w:r>
      <w:r w:rsidR="00683159" w:rsidRPr="00664249">
        <w:rPr>
          <w:rFonts w:cs="Arial"/>
          <w:sz w:val="23"/>
          <w:szCs w:val="23"/>
          <w:lang w:val="es-ES_tradnl"/>
        </w:rPr>
        <w:t>,</w:t>
      </w:r>
      <w:r w:rsidR="00683159" w:rsidRPr="00664249">
        <w:rPr>
          <w:rFonts w:cs="Arial"/>
          <w:b/>
          <w:sz w:val="23"/>
          <w:szCs w:val="23"/>
          <w:lang w:val="es-ES_tradnl"/>
        </w:rPr>
        <w:t xml:space="preserve"> </w:t>
      </w:r>
      <w:r w:rsidR="00683159" w:rsidRPr="00664249">
        <w:rPr>
          <w:rFonts w:cs="Arial"/>
          <w:sz w:val="23"/>
          <w:szCs w:val="23"/>
          <w:lang w:val="es-ES"/>
        </w:rPr>
        <w:t>los partidos políticos podrán recibir financiamiento que no provenga del erario, con las modalidades siguientes:</w:t>
      </w:r>
    </w:p>
    <w:p w14:paraId="3CCB9929" w14:textId="77777777" w:rsidR="008B7CBE" w:rsidRPr="00664249" w:rsidRDefault="008B7CBE" w:rsidP="00D90C9F">
      <w:pPr>
        <w:pStyle w:val="Sinespaciado"/>
        <w:rPr>
          <w:rFonts w:ascii="Arial" w:hAnsi="Arial" w:cs="Arial"/>
          <w:sz w:val="23"/>
          <w:szCs w:val="23"/>
          <w:lang w:val="es-ES"/>
        </w:rPr>
      </w:pPr>
    </w:p>
    <w:p w14:paraId="3F0EA907" w14:textId="23224EC5" w:rsidR="00683159" w:rsidRPr="00664249" w:rsidRDefault="00683159" w:rsidP="00D90C9F">
      <w:pPr>
        <w:pStyle w:val="Sinespaciado"/>
        <w:numPr>
          <w:ilvl w:val="0"/>
          <w:numId w:val="9"/>
        </w:numPr>
        <w:jc w:val="both"/>
        <w:rPr>
          <w:rFonts w:ascii="Arial" w:hAnsi="Arial" w:cs="Arial"/>
          <w:sz w:val="23"/>
          <w:szCs w:val="23"/>
          <w:lang w:val="es-ES_tradnl"/>
        </w:rPr>
      </w:pPr>
      <w:r w:rsidRPr="00664249">
        <w:rPr>
          <w:rFonts w:ascii="Arial" w:hAnsi="Arial" w:cs="Arial"/>
          <w:sz w:val="23"/>
          <w:szCs w:val="23"/>
          <w:lang w:val="es-ES_tradnl"/>
        </w:rPr>
        <w:t>Financiamiento por la militancia.</w:t>
      </w:r>
    </w:p>
    <w:p w14:paraId="307756D9" w14:textId="039B77FF" w:rsidR="00683159" w:rsidRPr="00664249" w:rsidRDefault="00683159" w:rsidP="00D90C9F">
      <w:pPr>
        <w:pStyle w:val="Sinespaciado"/>
        <w:numPr>
          <w:ilvl w:val="0"/>
          <w:numId w:val="9"/>
        </w:numPr>
        <w:jc w:val="both"/>
        <w:rPr>
          <w:rFonts w:ascii="Arial" w:hAnsi="Arial" w:cs="Arial"/>
          <w:sz w:val="23"/>
          <w:szCs w:val="23"/>
          <w:lang w:val="es-ES_tradnl"/>
        </w:rPr>
      </w:pPr>
      <w:r w:rsidRPr="00664249">
        <w:rPr>
          <w:rFonts w:ascii="Arial" w:hAnsi="Arial" w:cs="Arial"/>
          <w:sz w:val="23"/>
          <w:szCs w:val="23"/>
          <w:lang w:val="es-ES_tradnl"/>
        </w:rPr>
        <w:t>Financiamiento de simpatizantes.</w:t>
      </w:r>
    </w:p>
    <w:p w14:paraId="6D4B8C7C" w14:textId="5B69C273" w:rsidR="00683159" w:rsidRPr="00664249" w:rsidRDefault="00683159" w:rsidP="00D90C9F">
      <w:pPr>
        <w:pStyle w:val="Sinespaciado"/>
        <w:numPr>
          <w:ilvl w:val="0"/>
          <w:numId w:val="9"/>
        </w:numPr>
        <w:jc w:val="both"/>
        <w:rPr>
          <w:rFonts w:ascii="Arial" w:hAnsi="Arial" w:cs="Arial"/>
          <w:sz w:val="23"/>
          <w:szCs w:val="23"/>
          <w:lang w:val="es-ES_tradnl"/>
        </w:rPr>
      </w:pPr>
      <w:r w:rsidRPr="00664249">
        <w:rPr>
          <w:rFonts w:ascii="Arial" w:hAnsi="Arial" w:cs="Arial"/>
          <w:sz w:val="23"/>
          <w:szCs w:val="23"/>
          <w:lang w:val="es-ES_tradnl"/>
        </w:rPr>
        <w:t>Autofinanciamiento.</w:t>
      </w:r>
    </w:p>
    <w:p w14:paraId="06596018" w14:textId="4996CE49" w:rsidR="00683159" w:rsidRPr="00664249" w:rsidRDefault="00683159" w:rsidP="00D90C9F">
      <w:pPr>
        <w:pStyle w:val="Sinespaciado"/>
        <w:numPr>
          <w:ilvl w:val="0"/>
          <w:numId w:val="9"/>
        </w:numPr>
        <w:jc w:val="both"/>
        <w:rPr>
          <w:rFonts w:ascii="Arial" w:hAnsi="Arial" w:cs="Arial"/>
          <w:sz w:val="23"/>
          <w:szCs w:val="23"/>
          <w:lang w:val="es-ES_tradnl"/>
        </w:rPr>
      </w:pPr>
      <w:r w:rsidRPr="00664249">
        <w:rPr>
          <w:rFonts w:ascii="Arial" w:hAnsi="Arial" w:cs="Arial"/>
          <w:sz w:val="23"/>
          <w:szCs w:val="23"/>
          <w:lang w:val="es-ES_tradnl"/>
        </w:rPr>
        <w:t>Financiamiento por rendimientos financieros, fondos y fideicomisos.</w:t>
      </w:r>
    </w:p>
    <w:p w14:paraId="17B73C05" w14:textId="77777777" w:rsidR="006B405F" w:rsidRPr="00664249" w:rsidRDefault="006B405F" w:rsidP="00296136">
      <w:pPr>
        <w:spacing w:before="120" w:after="120" w:line="276" w:lineRule="auto"/>
        <w:jc w:val="both"/>
        <w:rPr>
          <w:rFonts w:cs="Arial"/>
          <w:sz w:val="23"/>
          <w:szCs w:val="23"/>
          <w:lang w:val="es-ES"/>
        </w:rPr>
      </w:pPr>
    </w:p>
    <w:p w14:paraId="7473BEE7" w14:textId="073833F1" w:rsidR="00683159" w:rsidRPr="00664249" w:rsidRDefault="00683159" w:rsidP="00296136">
      <w:pPr>
        <w:spacing w:before="120" w:after="120" w:line="276" w:lineRule="auto"/>
        <w:jc w:val="both"/>
        <w:rPr>
          <w:rFonts w:cs="Arial"/>
          <w:sz w:val="23"/>
          <w:szCs w:val="23"/>
          <w:lang w:val="es-ES"/>
        </w:rPr>
      </w:pPr>
      <w:r w:rsidRPr="00664249">
        <w:rPr>
          <w:rFonts w:cs="Arial"/>
          <w:sz w:val="23"/>
          <w:szCs w:val="23"/>
          <w:lang w:val="es-ES"/>
        </w:rPr>
        <w:t xml:space="preserve">El financiamiento antes señalado, </w:t>
      </w:r>
      <w:r w:rsidR="001512E8" w:rsidRPr="00664249">
        <w:rPr>
          <w:rFonts w:cs="Arial"/>
          <w:sz w:val="23"/>
          <w:szCs w:val="23"/>
          <w:lang w:val="es-ES"/>
        </w:rPr>
        <w:t>tendrá las modalidades siguientes</w:t>
      </w:r>
      <w:r w:rsidRPr="00664249">
        <w:rPr>
          <w:rFonts w:cs="Arial"/>
          <w:sz w:val="23"/>
          <w:szCs w:val="23"/>
          <w:lang w:val="es-ES"/>
        </w:rPr>
        <w:t>:</w:t>
      </w:r>
    </w:p>
    <w:p w14:paraId="2CA27CEE" w14:textId="72826019" w:rsidR="00683159" w:rsidRPr="00664249" w:rsidRDefault="00683159" w:rsidP="00296136">
      <w:pPr>
        <w:spacing w:before="120" w:after="120" w:line="276" w:lineRule="auto"/>
        <w:ind w:left="284"/>
        <w:jc w:val="both"/>
        <w:rPr>
          <w:rFonts w:cs="Arial"/>
          <w:sz w:val="23"/>
          <w:szCs w:val="23"/>
          <w:lang w:val="es-ES_tradnl"/>
        </w:rPr>
      </w:pPr>
      <w:r w:rsidRPr="00664249">
        <w:rPr>
          <w:rFonts w:cs="Arial"/>
          <w:sz w:val="23"/>
          <w:szCs w:val="23"/>
          <w:lang w:val="es-ES_tradnl"/>
        </w:rPr>
        <w:t>a)</w:t>
      </w:r>
      <w:r w:rsidRPr="00664249">
        <w:rPr>
          <w:rFonts w:cs="Arial"/>
          <w:sz w:val="23"/>
          <w:szCs w:val="23"/>
          <w:lang w:val="es-ES_tradnl"/>
        </w:rPr>
        <w:tab/>
        <w:t xml:space="preserve">Las aportaciones o cuotas individuales y obligatorias, ordinarias y extraordinarias, en dinero o en especie, que realicen </w:t>
      </w:r>
      <w:r w:rsidR="00DC4CCE" w:rsidRPr="00664249">
        <w:rPr>
          <w:rFonts w:cs="Arial"/>
          <w:sz w:val="23"/>
          <w:szCs w:val="23"/>
          <w:lang w:val="es-ES_tradnl"/>
        </w:rPr>
        <w:t xml:space="preserve">las y </w:t>
      </w:r>
      <w:r w:rsidRPr="00664249">
        <w:rPr>
          <w:rFonts w:cs="Arial"/>
          <w:sz w:val="23"/>
          <w:szCs w:val="23"/>
          <w:lang w:val="es-ES_tradnl"/>
        </w:rPr>
        <w:t>los militantes de los partidos políticos</w:t>
      </w:r>
      <w:r w:rsidR="001512E8" w:rsidRPr="00664249">
        <w:rPr>
          <w:rFonts w:cs="Arial"/>
          <w:sz w:val="23"/>
          <w:szCs w:val="23"/>
          <w:lang w:val="es-ES_tradnl"/>
        </w:rPr>
        <w:t>;</w:t>
      </w:r>
    </w:p>
    <w:p w14:paraId="709F8249" w14:textId="760C487C" w:rsidR="00683159" w:rsidRPr="00664249" w:rsidRDefault="00683159" w:rsidP="00296136">
      <w:pPr>
        <w:spacing w:before="120" w:after="120" w:line="276" w:lineRule="auto"/>
        <w:ind w:left="284"/>
        <w:jc w:val="both"/>
        <w:rPr>
          <w:rFonts w:cs="Arial"/>
          <w:sz w:val="23"/>
          <w:szCs w:val="23"/>
          <w:lang w:val="es-ES_tradnl"/>
        </w:rPr>
      </w:pPr>
      <w:r w:rsidRPr="00664249">
        <w:rPr>
          <w:rFonts w:cs="Arial"/>
          <w:sz w:val="23"/>
          <w:szCs w:val="23"/>
          <w:lang w:val="es-ES_tradnl"/>
        </w:rPr>
        <w:t>b)</w:t>
      </w:r>
      <w:r w:rsidRPr="00664249">
        <w:rPr>
          <w:rFonts w:cs="Arial"/>
          <w:sz w:val="23"/>
          <w:szCs w:val="23"/>
          <w:lang w:val="es-ES_tradnl"/>
        </w:rPr>
        <w:tab/>
        <w:t xml:space="preserve">Las aportaciones voluntarias y personales, en dinero o en especie, que </w:t>
      </w:r>
      <w:r w:rsidR="00DC4CCE" w:rsidRPr="00664249">
        <w:rPr>
          <w:rFonts w:cs="Arial"/>
          <w:sz w:val="23"/>
          <w:szCs w:val="23"/>
          <w:lang w:val="es-ES_tradnl"/>
        </w:rPr>
        <w:t xml:space="preserve">las y </w:t>
      </w:r>
      <w:r w:rsidRPr="00664249">
        <w:rPr>
          <w:rFonts w:cs="Arial"/>
          <w:sz w:val="23"/>
          <w:szCs w:val="23"/>
          <w:lang w:val="es-ES_tradnl"/>
        </w:rPr>
        <w:t>los precandidatos y candidatos aporten exclusivamente para sus precampañas y campañas</w:t>
      </w:r>
      <w:r w:rsidR="001512E8" w:rsidRPr="00664249">
        <w:rPr>
          <w:rFonts w:cs="Arial"/>
          <w:sz w:val="23"/>
          <w:szCs w:val="23"/>
          <w:lang w:val="es-ES_tradnl"/>
        </w:rPr>
        <w:t>; y</w:t>
      </w:r>
    </w:p>
    <w:p w14:paraId="325623D4" w14:textId="77777777" w:rsidR="00683159" w:rsidRPr="00664249" w:rsidRDefault="00683159" w:rsidP="00296136">
      <w:pPr>
        <w:spacing w:before="120" w:after="120" w:line="276" w:lineRule="auto"/>
        <w:ind w:left="284"/>
        <w:jc w:val="both"/>
        <w:rPr>
          <w:rFonts w:cs="Arial"/>
          <w:sz w:val="23"/>
          <w:szCs w:val="23"/>
          <w:lang w:val="es-ES"/>
        </w:rPr>
      </w:pPr>
      <w:r w:rsidRPr="00664249">
        <w:rPr>
          <w:rFonts w:cs="Arial"/>
          <w:sz w:val="23"/>
          <w:szCs w:val="23"/>
          <w:lang w:val="es-ES"/>
        </w:rPr>
        <w:t>c)</w:t>
      </w:r>
      <w:r w:rsidRPr="00664249">
        <w:rPr>
          <w:rFonts w:cs="Arial"/>
          <w:sz w:val="23"/>
          <w:szCs w:val="23"/>
          <w:lang w:val="es-ES"/>
        </w:rPr>
        <w:tab/>
        <w:t xml:space="preserve">Las aportaciones voluntarias y personales que realicen </w:t>
      </w:r>
      <w:r w:rsidR="00DC4CCE" w:rsidRPr="00664249">
        <w:rPr>
          <w:rFonts w:cs="Arial"/>
          <w:sz w:val="23"/>
          <w:szCs w:val="23"/>
          <w:lang w:val="es-ES"/>
        </w:rPr>
        <w:t xml:space="preserve">las y </w:t>
      </w:r>
      <w:r w:rsidRPr="00664249">
        <w:rPr>
          <w:rFonts w:cs="Arial"/>
          <w:sz w:val="23"/>
          <w:szCs w:val="23"/>
          <w:lang w:val="es-ES"/>
        </w:rPr>
        <w:t>los simpatizantes durante los procesos electorales federales y locales, y</w:t>
      </w:r>
      <w:r w:rsidRPr="00664249">
        <w:rPr>
          <w:rFonts w:cs="Arial"/>
          <w:sz w:val="23"/>
          <w:szCs w:val="23"/>
          <w:lang w:val="es-ES_tradnl"/>
        </w:rPr>
        <w:t xml:space="preserve"> </w:t>
      </w:r>
      <w:r w:rsidRPr="00664249">
        <w:rPr>
          <w:rFonts w:cs="Arial"/>
          <w:sz w:val="23"/>
          <w:szCs w:val="23"/>
          <w:lang w:val="es-ES"/>
        </w:rPr>
        <w:t xml:space="preserve">estará conformado por las </w:t>
      </w:r>
      <w:r w:rsidRPr="00664249">
        <w:rPr>
          <w:rFonts w:cs="Arial"/>
          <w:sz w:val="23"/>
          <w:szCs w:val="23"/>
          <w:lang w:val="es-ES"/>
        </w:rPr>
        <w:lastRenderedPageBreak/>
        <w:t>aportaciones o donativos, en dinero o en especie, hechas a los partidos políticos en forma libre y voluntaria por las personas físicas mexicanas con residencia en el país.</w:t>
      </w:r>
    </w:p>
    <w:p w14:paraId="2DA958DA" w14:textId="77777777" w:rsidR="00683159" w:rsidRPr="00664249" w:rsidRDefault="00683159" w:rsidP="00296136">
      <w:pPr>
        <w:spacing w:before="120" w:after="120" w:line="276" w:lineRule="auto"/>
        <w:jc w:val="both"/>
        <w:rPr>
          <w:rFonts w:cs="Arial"/>
          <w:b/>
          <w:sz w:val="23"/>
          <w:szCs w:val="23"/>
          <w:lang w:val="es-ES"/>
        </w:rPr>
      </w:pPr>
    </w:p>
    <w:p w14:paraId="54C27F0E" w14:textId="77777777" w:rsidR="00683159" w:rsidRPr="00664249" w:rsidRDefault="00683159" w:rsidP="00296136">
      <w:pPr>
        <w:spacing w:before="120" w:after="120" w:line="276" w:lineRule="auto"/>
        <w:jc w:val="both"/>
        <w:rPr>
          <w:rFonts w:cs="Arial"/>
          <w:sz w:val="23"/>
          <w:szCs w:val="23"/>
          <w:lang w:val="es-ES_tradnl"/>
        </w:rPr>
      </w:pPr>
      <w:r w:rsidRPr="00664249">
        <w:rPr>
          <w:rFonts w:cs="Arial"/>
          <w:sz w:val="23"/>
          <w:szCs w:val="23"/>
          <w:lang w:val="es-ES_tradnl"/>
        </w:rPr>
        <w:t>Lo anterior de conformidad con lo establecido por los artículos 51, 53 y 56</w:t>
      </w:r>
      <w:r w:rsidR="00762CD7" w:rsidRPr="00664249">
        <w:rPr>
          <w:rFonts w:cs="Arial"/>
          <w:sz w:val="23"/>
          <w:szCs w:val="23"/>
          <w:lang w:val="es-ES_tradnl"/>
        </w:rPr>
        <w:t>,</w:t>
      </w:r>
      <w:r w:rsidRPr="00664249">
        <w:rPr>
          <w:rFonts w:cs="Arial"/>
          <w:sz w:val="23"/>
          <w:szCs w:val="23"/>
          <w:lang w:val="es-ES_tradnl"/>
        </w:rPr>
        <w:t xml:space="preserve"> párrafo 1 de la Ley General de Partidos Políticos.</w:t>
      </w:r>
    </w:p>
    <w:p w14:paraId="44913073" w14:textId="77777777" w:rsidR="00683159" w:rsidRPr="00664249" w:rsidRDefault="00683159" w:rsidP="00D90C9F">
      <w:pPr>
        <w:pStyle w:val="Sinespaciado"/>
        <w:rPr>
          <w:rFonts w:ascii="Arial" w:hAnsi="Arial" w:cs="Arial"/>
          <w:sz w:val="23"/>
          <w:szCs w:val="23"/>
          <w:lang w:val="es-ES_tradnl"/>
        </w:rPr>
      </w:pPr>
    </w:p>
    <w:p w14:paraId="10FC88FE" w14:textId="7BFB04FA" w:rsidR="00683159" w:rsidRPr="00664249" w:rsidRDefault="00B1533D" w:rsidP="00296136">
      <w:pPr>
        <w:spacing w:before="120" w:after="120" w:line="276" w:lineRule="auto"/>
        <w:jc w:val="both"/>
        <w:rPr>
          <w:rFonts w:cs="Arial"/>
          <w:sz w:val="23"/>
          <w:szCs w:val="23"/>
          <w:lang w:val="es-ES_tradnl"/>
        </w:rPr>
      </w:pPr>
      <w:r w:rsidRPr="00664249">
        <w:rPr>
          <w:rFonts w:cs="Arial"/>
          <w:b/>
          <w:sz w:val="23"/>
          <w:szCs w:val="23"/>
          <w:lang w:val="es-ES_tradnl"/>
        </w:rPr>
        <w:t>V</w:t>
      </w:r>
      <w:r w:rsidR="00AF5EE3" w:rsidRPr="00664249">
        <w:rPr>
          <w:rFonts w:cs="Arial"/>
          <w:b/>
          <w:sz w:val="23"/>
          <w:szCs w:val="23"/>
          <w:lang w:val="es-ES_tradnl"/>
        </w:rPr>
        <w:t>I</w:t>
      </w:r>
      <w:r w:rsidRPr="00664249">
        <w:rPr>
          <w:rFonts w:cs="Arial"/>
          <w:b/>
          <w:sz w:val="23"/>
          <w:szCs w:val="23"/>
          <w:lang w:val="es-ES_tradnl"/>
        </w:rPr>
        <w:t>I</w:t>
      </w:r>
      <w:r w:rsidR="006E3A71" w:rsidRPr="00664249">
        <w:rPr>
          <w:rFonts w:cs="Arial"/>
          <w:b/>
          <w:sz w:val="23"/>
          <w:szCs w:val="23"/>
          <w:lang w:val="es-ES_tradnl"/>
        </w:rPr>
        <w:t>I</w:t>
      </w:r>
      <w:r w:rsidR="00683159" w:rsidRPr="00664249">
        <w:rPr>
          <w:rFonts w:cs="Arial"/>
          <w:b/>
          <w:sz w:val="23"/>
          <w:szCs w:val="23"/>
          <w:lang w:val="es-ES_tradnl"/>
        </w:rPr>
        <w:t xml:space="preserve">. DE LOS LÍMITES DEL FINANCIAMIENTO PRIVADO. </w:t>
      </w:r>
      <w:r w:rsidR="00683159" w:rsidRPr="00664249">
        <w:rPr>
          <w:rFonts w:cs="Arial"/>
          <w:sz w:val="23"/>
          <w:szCs w:val="23"/>
          <w:lang w:val="es-ES_tradnl"/>
        </w:rPr>
        <w:t xml:space="preserve">Que </w:t>
      </w:r>
      <w:r w:rsidR="00352815" w:rsidRPr="00664249">
        <w:rPr>
          <w:rFonts w:cs="Arial"/>
          <w:sz w:val="23"/>
          <w:szCs w:val="23"/>
          <w:lang w:val="es-ES_tradnl"/>
        </w:rPr>
        <w:t xml:space="preserve">de acuerdo con </w:t>
      </w:r>
      <w:r w:rsidR="00683159" w:rsidRPr="00664249">
        <w:rPr>
          <w:rFonts w:cs="Arial"/>
          <w:sz w:val="23"/>
          <w:szCs w:val="23"/>
          <w:lang w:val="es-ES_tradnl"/>
        </w:rPr>
        <w:t xml:space="preserve">lo establecido por el </w:t>
      </w:r>
      <w:r w:rsidR="00245E19" w:rsidRPr="00664249">
        <w:rPr>
          <w:rFonts w:cs="Arial"/>
          <w:sz w:val="23"/>
          <w:szCs w:val="23"/>
          <w:lang w:val="es-ES_tradnl"/>
        </w:rPr>
        <w:t>artículo</w:t>
      </w:r>
      <w:r w:rsidR="00683159" w:rsidRPr="00664249">
        <w:rPr>
          <w:rFonts w:cs="Arial"/>
          <w:sz w:val="23"/>
          <w:szCs w:val="23"/>
          <w:lang w:val="es-ES_tradnl"/>
        </w:rPr>
        <w:t xml:space="preserve"> 56, párrafo 2</w:t>
      </w:r>
      <w:r w:rsidR="0074433C" w:rsidRPr="00664249">
        <w:rPr>
          <w:rFonts w:cs="Arial"/>
          <w:sz w:val="23"/>
          <w:szCs w:val="23"/>
          <w:lang w:val="es-ES_tradnl"/>
        </w:rPr>
        <w:t>,</w:t>
      </w:r>
      <w:r w:rsidR="00683159" w:rsidRPr="00664249">
        <w:rPr>
          <w:rFonts w:cs="Arial"/>
          <w:sz w:val="23"/>
          <w:szCs w:val="23"/>
          <w:lang w:val="es-ES_tradnl"/>
        </w:rPr>
        <w:t xml:space="preserve"> de la Le</w:t>
      </w:r>
      <w:r w:rsidR="00552FDF" w:rsidRPr="00664249">
        <w:rPr>
          <w:rFonts w:cs="Arial"/>
          <w:sz w:val="23"/>
          <w:szCs w:val="23"/>
          <w:lang w:val="es-ES_tradnl"/>
        </w:rPr>
        <w:t>y General de Partidos Políticos, en relación con el diverso numeral 89, párrafo 3 del Código Electo</w:t>
      </w:r>
      <w:r w:rsidR="00FB249D" w:rsidRPr="00664249">
        <w:rPr>
          <w:rFonts w:cs="Arial"/>
          <w:sz w:val="23"/>
          <w:szCs w:val="23"/>
          <w:lang w:val="es-ES_tradnl"/>
        </w:rPr>
        <w:t xml:space="preserve">ral </w:t>
      </w:r>
      <w:r w:rsidR="00552FDF" w:rsidRPr="00664249">
        <w:rPr>
          <w:rFonts w:cs="Arial"/>
          <w:sz w:val="23"/>
          <w:szCs w:val="23"/>
          <w:lang w:val="es-ES_tradnl"/>
        </w:rPr>
        <w:t xml:space="preserve">del Estado de Jalisco, </w:t>
      </w:r>
      <w:r w:rsidR="00683159" w:rsidRPr="00664249">
        <w:rPr>
          <w:rFonts w:cs="Arial"/>
          <w:sz w:val="23"/>
          <w:szCs w:val="23"/>
          <w:lang w:val="es-ES_tradnl"/>
        </w:rPr>
        <w:t>el</w:t>
      </w:r>
      <w:r w:rsidR="00683159" w:rsidRPr="00664249">
        <w:rPr>
          <w:rFonts w:cs="Arial"/>
          <w:sz w:val="23"/>
          <w:szCs w:val="23"/>
          <w:lang w:val="es-ES"/>
        </w:rPr>
        <w:t xml:space="preserve"> financiamiento privado se ajustará a los límites anuales siguientes:</w:t>
      </w:r>
    </w:p>
    <w:p w14:paraId="43202A40" w14:textId="77777777" w:rsidR="00D96209" w:rsidRPr="00664249" w:rsidRDefault="00D96209" w:rsidP="00296136">
      <w:pPr>
        <w:pStyle w:val="Texto"/>
        <w:spacing w:before="120" w:after="120" w:line="276" w:lineRule="auto"/>
        <w:ind w:firstLine="0"/>
        <w:rPr>
          <w:sz w:val="23"/>
          <w:szCs w:val="23"/>
          <w:lang w:val="es-ES"/>
        </w:rPr>
      </w:pPr>
    </w:p>
    <w:p w14:paraId="4401B902" w14:textId="77777777" w:rsidR="00D96209" w:rsidRPr="00664249" w:rsidRDefault="00D96209" w:rsidP="00296136">
      <w:pPr>
        <w:pStyle w:val="Texto"/>
        <w:numPr>
          <w:ilvl w:val="0"/>
          <w:numId w:val="4"/>
        </w:numPr>
        <w:spacing w:before="120" w:after="120" w:line="276" w:lineRule="auto"/>
        <w:rPr>
          <w:sz w:val="23"/>
          <w:szCs w:val="23"/>
          <w:lang w:val="es-ES_tradnl"/>
        </w:rPr>
      </w:pPr>
      <w:r w:rsidRPr="00664249">
        <w:rPr>
          <w:sz w:val="23"/>
          <w:szCs w:val="23"/>
          <w:lang w:val="es-ES_tradnl"/>
        </w:rPr>
        <w:t>Para el caso de las aportaciones de militantes, el dos por ciento del financiamiento público otorgado a la totalidad de los partidos políticos para el sostenimiento de sus actividades ordinarias y precam</w:t>
      </w:r>
      <w:r w:rsidR="00DB0F46" w:rsidRPr="00664249">
        <w:rPr>
          <w:sz w:val="23"/>
          <w:szCs w:val="23"/>
          <w:lang w:val="es-ES_tradnl"/>
        </w:rPr>
        <w:t>pañas en el año de que se trate.</w:t>
      </w:r>
    </w:p>
    <w:p w14:paraId="112360D0" w14:textId="77777777" w:rsidR="00D96209" w:rsidRPr="00664249" w:rsidRDefault="00D96209" w:rsidP="00296136">
      <w:pPr>
        <w:pStyle w:val="Texto"/>
        <w:spacing w:before="120" w:after="120" w:line="276" w:lineRule="auto"/>
        <w:ind w:left="720" w:hanging="432"/>
        <w:rPr>
          <w:b/>
          <w:sz w:val="23"/>
          <w:szCs w:val="23"/>
          <w:lang w:val="es-ES_tradnl"/>
        </w:rPr>
      </w:pPr>
    </w:p>
    <w:p w14:paraId="1545D24C" w14:textId="77777777" w:rsidR="00D96209" w:rsidRPr="00664249" w:rsidRDefault="00D96209" w:rsidP="00296136">
      <w:pPr>
        <w:pStyle w:val="Texto"/>
        <w:numPr>
          <w:ilvl w:val="0"/>
          <w:numId w:val="4"/>
        </w:numPr>
        <w:spacing w:before="120" w:after="120" w:line="276" w:lineRule="auto"/>
        <w:rPr>
          <w:sz w:val="23"/>
          <w:szCs w:val="23"/>
          <w:lang w:val="es-ES_tradnl"/>
        </w:rPr>
      </w:pPr>
      <w:r w:rsidRPr="00664249">
        <w:rPr>
          <w:sz w:val="23"/>
          <w:szCs w:val="23"/>
          <w:lang w:val="es-ES_tradnl"/>
        </w:rPr>
        <w:t xml:space="preserve">Para el caso de las aportaciones de </w:t>
      </w:r>
      <w:r w:rsidR="00DB0F46" w:rsidRPr="00664249">
        <w:rPr>
          <w:sz w:val="23"/>
          <w:szCs w:val="23"/>
          <w:lang w:val="es-ES_tradnl"/>
        </w:rPr>
        <w:t xml:space="preserve">las y los </w:t>
      </w:r>
      <w:r w:rsidRPr="00664249">
        <w:rPr>
          <w:sz w:val="23"/>
          <w:szCs w:val="23"/>
          <w:lang w:val="es-ES_tradnl"/>
        </w:rPr>
        <w:t>candidatos, así como de simpatizantes durante los procesos electorales, el diez por ciento del tope de gasto para la elección presidencial inmediata anterior, para ser utilizadas en</w:t>
      </w:r>
      <w:r w:rsidR="00DB0F46" w:rsidRPr="00664249">
        <w:rPr>
          <w:sz w:val="23"/>
          <w:szCs w:val="23"/>
          <w:lang w:val="es-ES_tradnl"/>
        </w:rPr>
        <w:t xml:space="preserve"> las campañas de sus candidatos.</w:t>
      </w:r>
    </w:p>
    <w:p w14:paraId="32A17312" w14:textId="77777777" w:rsidR="00D96209" w:rsidRPr="00664249" w:rsidRDefault="00D96209" w:rsidP="00296136">
      <w:pPr>
        <w:pStyle w:val="Texto"/>
        <w:spacing w:before="120" w:after="120" w:line="276" w:lineRule="auto"/>
        <w:ind w:left="720" w:hanging="432"/>
        <w:rPr>
          <w:sz w:val="23"/>
          <w:szCs w:val="23"/>
          <w:lang w:val="es-ES_tradnl"/>
        </w:rPr>
      </w:pPr>
    </w:p>
    <w:p w14:paraId="76C83B9F" w14:textId="77777777" w:rsidR="00D96209" w:rsidRPr="00664249" w:rsidRDefault="00D96209" w:rsidP="00296136">
      <w:pPr>
        <w:pStyle w:val="Texto"/>
        <w:numPr>
          <w:ilvl w:val="0"/>
          <w:numId w:val="4"/>
        </w:numPr>
        <w:spacing w:before="120" w:after="120" w:line="276" w:lineRule="auto"/>
        <w:rPr>
          <w:sz w:val="23"/>
          <w:szCs w:val="23"/>
          <w:lang w:val="es-ES_tradnl"/>
        </w:rPr>
      </w:pPr>
      <w:r w:rsidRPr="00664249">
        <w:rPr>
          <w:sz w:val="23"/>
          <w:szCs w:val="23"/>
          <w:lang w:val="es-ES_tradnl"/>
        </w:rPr>
        <w:t>Cada partido político, a través del órgano previsto en el artículo 43</w:t>
      </w:r>
      <w:r w:rsidR="00DB0F46" w:rsidRPr="00664249">
        <w:rPr>
          <w:sz w:val="23"/>
          <w:szCs w:val="23"/>
          <w:lang w:val="es-ES_tradnl"/>
        </w:rPr>
        <w:t>,</w:t>
      </w:r>
      <w:r w:rsidRPr="00664249">
        <w:rPr>
          <w:sz w:val="23"/>
          <w:szCs w:val="23"/>
          <w:lang w:val="es-ES_tradnl"/>
        </w:rPr>
        <w:t xml:space="preserve"> inciso c) de </w:t>
      </w:r>
      <w:r w:rsidR="00DB0F46" w:rsidRPr="00664249">
        <w:rPr>
          <w:sz w:val="23"/>
          <w:szCs w:val="23"/>
          <w:lang w:val="es-ES_tradnl"/>
        </w:rPr>
        <w:t xml:space="preserve">la </w:t>
      </w:r>
      <w:r w:rsidRPr="00664249">
        <w:rPr>
          <w:sz w:val="23"/>
          <w:szCs w:val="23"/>
          <w:lang w:val="es-ES_tradnl"/>
        </w:rPr>
        <w:t xml:space="preserve">Ley </w:t>
      </w:r>
      <w:r w:rsidR="00DB0F46" w:rsidRPr="00664249">
        <w:rPr>
          <w:sz w:val="23"/>
          <w:szCs w:val="23"/>
          <w:lang w:val="es-ES_tradnl"/>
        </w:rPr>
        <w:t xml:space="preserve">General de Partidos Políticos, </w:t>
      </w:r>
      <w:r w:rsidRPr="00664249">
        <w:rPr>
          <w:sz w:val="23"/>
          <w:szCs w:val="23"/>
          <w:lang w:val="es-ES_tradnl"/>
        </w:rPr>
        <w:t xml:space="preserve">determinará libremente los montos mínimos y máximos y la periodicidad de las cuotas ordinarias y extraordinarias de sus militantes, así como de las aportaciones voluntarias y personales que </w:t>
      </w:r>
      <w:r w:rsidR="00DB0F46" w:rsidRPr="00664249">
        <w:rPr>
          <w:sz w:val="23"/>
          <w:szCs w:val="23"/>
          <w:lang w:val="es-ES_tradnl"/>
        </w:rPr>
        <w:t xml:space="preserve">las y </w:t>
      </w:r>
      <w:r w:rsidRPr="00664249">
        <w:rPr>
          <w:sz w:val="23"/>
          <w:szCs w:val="23"/>
          <w:lang w:val="es-ES_tradnl"/>
        </w:rPr>
        <w:t>los precandidatos y candidatos aporten exclusivamente para sus precampañas y campañas</w:t>
      </w:r>
      <w:r w:rsidR="00DB0F46" w:rsidRPr="00664249">
        <w:rPr>
          <w:sz w:val="23"/>
          <w:szCs w:val="23"/>
          <w:lang w:val="es-ES_tradnl"/>
        </w:rPr>
        <w:t>.</w:t>
      </w:r>
    </w:p>
    <w:p w14:paraId="7AA44AE7" w14:textId="77777777" w:rsidR="00D96209" w:rsidRPr="00664249" w:rsidRDefault="00D96209" w:rsidP="00296136">
      <w:pPr>
        <w:pStyle w:val="Texto"/>
        <w:spacing w:before="120" w:after="120" w:line="276" w:lineRule="auto"/>
        <w:ind w:left="720" w:hanging="432"/>
        <w:rPr>
          <w:sz w:val="23"/>
          <w:szCs w:val="23"/>
          <w:lang w:val="es-ES_tradnl"/>
        </w:rPr>
      </w:pPr>
    </w:p>
    <w:p w14:paraId="0BDA81C6" w14:textId="77777777" w:rsidR="00D96209" w:rsidRPr="00664249" w:rsidRDefault="00D96209" w:rsidP="00296136">
      <w:pPr>
        <w:pStyle w:val="Texto"/>
        <w:numPr>
          <w:ilvl w:val="0"/>
          <w:numId w:val="4"/>
        </w:numPr>
        <w:spacing w:before="120" w:after="120" w:line="276" w:lineRule="auto"/>
        <w:rPr>
          <w:sz w:val="23"/>
          <w:szCs w:val="23"/>
          <w:lang w:val="es-ES_tradnl"/>
        </w:rPr>
      </w:pPr>
      <w:r w:rsidRPr="00664249">
        <w:rPr>
          <w:sz w:val="23"/>
          <w:szCs w:val="23"/>
          <w:lang w:val="es-ES_tradnl"/>
        </w:rPr>
        <w:t>Las aportaciones de simpatizantes tendrán como límite individual anual el 0.5 por ciento del tope de gasto para la elección presidencial inmediata anterior.</w:t>
      </w:r>
    </w:p>
    <w:p w14:paraId="58B1342A" w14:textId="77777777" w:rsidR="00683159" w:rsidRPr="00664249" w:rsidRDefault="00683159" w:rsidP="00D90C9F">
      <w:pPr>
        <w:pStyle w:val="Sinespaciado"/>
        <w:rPr>
          <w:rFonts w:ascii="Arial" w:hAnsi="Arial" w:cs="Arial"/>
          <w:sz w:val="23"/>
          <w:szCs w:val="23"/>
          <w:lang w:val="es-ES_tradnl"/>
        </w:rPr>
      </w:pPr>
    </w:p>
    <w:p w14:paraId="36211654" w14:textId="7C35D1F5" w:rsidR="002924E4" w:rsidRPr="00664249" w:rsidRDefault="00683159" w:rsidP="00296136">
      <w:pPr>
        <w:spacing w:before="120" w:after="120" w:line="276" w:lineRule="auto"/>
        <w:jc w:val="both"/>
        <w:rPr>
          <w:rFonts w:cs="Arial"/>
          <w:sz w:val="23"/>
          <w:szCs w:val="23"/>
          <w:lang w:val="es-ES_tradnl"/>
        </w:rPr>
      </w:pPr>
      <w:r w:rsidRPr="00664249">
        <w:rPr>
          <w:rFonts w:cs="Arial"/>
          <w:sz w:val="23"/>
          <w:szCs w:val="23"/>
          <w:lang w:val="es-ES_tradnl"/>
        </w:rPr>
        <w:lastRenderedPageBreak/>
        <w:t xml:space="preserve">Por lo anteriormente establecido </w:t>
      </w:r>
      <w:r w:rsidR="003B24E4" w:rsidRPr="00664249">
        <w:rPr>
          <w:rFonts w:cs="Arial"/>
          <w:sz w:val="23"/>
          <w:szCs w:val="23"/>
          <w:lang w:val="es-ES_tradnl"/>
        </w:rPr>
        <w:t xml:space="preserve">con relación a lo establecido en el artículo 13, Base V de la Constitución Política del Estado de Jalisco, </w:t>
      </w:r>
      <w:r w:rsidRPr="00664249">
        <w:rPr>
          <w:rFonts w:cs="Arial"/>
          <w:sz w:val="23"/>
          <w:szCs w:val="23"/>
          <w:lang w:val="es-ES_tradnl"/>
        </w:rPr>
        <w:t>y en virtud de que el Código Electo</w:t>
      </w:r>
      <w:r w:rsidR="00C513DC" w:rsidRPr="00664249">
        <w:rPr>
          <w:rFonts w:cs="Arial"/>
          <w:sz w:val="23"/>
          <w:szCs w:val="23"/>
          <w:lang w:val="es-ES_tradnl"/>
        </w:rPr>
        <w:t xml:space="preserve">ral </w:t>
      </w:r>
      <w:r w:rsidRPr="00664249">
        <w:rPr>
          <w:rFonts w:cs="Arial"/>
          <w:sz w:val="23"/>
          <w:szCs w:val="23"/>
          <w:lang w:val="es-ES_tradnl"/>
        </w:rPr>
        <w:t xml:space="preserve">del Estado de Jalisco, en materia de financiamiento público y privado, hace una referencia a lo establecido por la Ley General de Partidos Políticos, este órgano máximo de dirección considera que la base para el cálculo de los límites anuales de financiamiento privado que pueden percibir los </w:t>
      </w:r>
      <w:r w:rsidR="003B24E4" w:rsidRPr="00664249">
        <w:rPr>
          <w:rFonts w:cs="Arial"/>
          <w:sz w:val="23"/>
          <w:szCs w:val="23"/>
          <w:lang w:val="es-ES_tradnl"/>
        </w:rPr>
        <w:t>partidos políticos</w:t>
      </w:r>
      <w:r w:rsidRPr="00664249">
        <w:rPr>
          <w:rFonts w:cs="Arial"/>
          <w:sz w:val="23"/>
          <w:szCs w:val="23"/>
          <w:lang w:val="es-ES_tradnl"/>
        </w:rPr>
        <w:t xml:space="preserve"> será el tope de gasto para la elección de </w:t>
      </w:r>
      <w:r w:rsidR="00FA60F2" w:rsidRPr="00664249">
        <w:rPr>
          <w:rFonts w:cs="Arial"/>
          <w:sz w:val="23"/>
          <w:szCs w:val="23"/>
          <w:lang w:val="es-ES_tradnl"/>
        </w:rPr>
        <w:t>la gubernatura del Estado</w:t>
      </w:r>
      <w:r w:rsidRPr="00664249">
        <w:rPr>
          <w:rFonts w:cs="Arial"/>
          <w:sz w:val="23"/>
          <w:szCs w:val="23"/>
          <w:lang w:val="es-ES_tradnl"/>
        </w:rPr>
        <w:t xml:space="preserve"> inmediata anterior, que es la que tiene vinculación con la función electoral en la entidad.</w:t>
      </w:r>
    </w:p>
    <w:p w14:paraId="37C4997E" w14:textId="77777777" w:rsidR="003B24E4" w:rsidRPr="00664249" w:rsidRDefault="003B24E4" w:rsidP="00D90C9F">
      <w:pPr>
        <w:pStyle w:val="Sinespaciado"/>
        <w:rPr>
          <w:rFonts w:ascii="Arial" w:hAnsi="Arial" w:cs="Arial"/>
          <w:sz w:val="23"/>
          <w:szCs w:val="23"/>
          <w:lang w:val="es-ES_tradnl"/>
        </w:rPr>
      </w:pPr>
    </w:p>
    <w:p w14:paraId="3396A727" w14:textId="0C41496C" w:rsidR="00CD4A7D" w:rsidRPr="00664249" w:rsidRDefault="002924E4" w:rsidP="00296136">
      <w:pPr>
        <w:spacing w:before="120" w:after="120" w:line="276" w:lineRule="auto"/>
        <w:jc w:val="both"/>
        <w:rPr>
          <w:rFonts w:cs="Arial"/>
          <w:sz w:val="23"/>
          <w:szCs w:val="23"/>
          <w:lang w:val="es-ES_tradnl"/>
        </w:rPr>
      </w:pPr>
      <w:r w:rsidRPr="00664249">
        <w:rPr>
          <w:rFonts w:cs="Arial"/>
          <w:sz w:val="23"/>
          <w:szCs w:val="23"/>
          <w:lang w:val="es-ES_tradnl"/>
        </w:rPr>
        <w:t>F</w:t>
      </w:r>
      <w:r w:rsidR="00CD4A7D" w:rsidRPr="00664249">
        <w:rPr>
          <w:rFonts w:cs="Arial"/>
          <w:sz w:val="23"/>
          <w:szCs w:val="23"/>
          <w:lang w:val="es-ES_tradnl"/>
        </w:rPr>
        <w:t>inalmente, si bien es cierto el artículo 56, numeral 1 inciso c) de la Ley General de Partidos Políticos establece que las aportaciones de los simpatizante se podrán realizar exclusivamente durante los procesos electorales, dicha disposición fue impugnada ante el Tribunal Electoral del Poder Judicial de la Federación, el cual determinó en la sentencia SUP-RAP-20/2017 la</w:t>
      </w:r>
      <w:r w:rsidR="006D1209" w:rsidRPr="00664249">
        <w:rPr>
          <w:rFonts w:cs="Arial"/>
          <w:sz w:val="23"/>
          <w:szCs w:val="23"/>
          <w:lang w:val="es-ES_tradnl"/>
        </w:rPr>
        <w:t xml:space="preserve"> inaplicación de la porción normativa impugnada</w:t>
      </w:r>
      <w:r w:rsidR="00CD4A7D" w:rsidRPr="00664249">
        <w:rPr>
          <w:rFonts w:cs="Arial"/>
          <w:sz w:val="23"/>
          <w:szCs w:val="23"/>
          <w:lang w:val="es-ES_tradnl"/>
        </w:rPr>
        <w:t xml:space="preserve"> y determinó que los simpatizantes pueden realizar aportaciones aun en años don</w:t>
      </w:r>
      <w:r w:rsidR="006D1209" w:rsidRPr="00664249">
        <w:rPr>
          <w:rFonts w:cs="Arial"/>
          <w:sz w:val="23"/>
          <w:szCs w:val="23"/>
          <w:lang w:val="es-ES_tradnl"/>
        </w:rPr>
        <w:t>de no exista proceso electoral, lo anterior quedó plasmado en la jurisprudencia 6/2017 de rubro “</w:t>
      </w:r>
      <w:r w:rsidR="006D1209" w:rsidRPr="00664249">
        <w:rPr>
          <w:rFonts w:cs="Arial"/>
          <w:i/>
          <w:sz w:val="23"/>
          <w:szCs w:val="23"/>
          <w:lang w:val="es-ES_tradnl"/>
        </w:rPr>
        <w:t>APORTACIONES DE SIMPATIZANTES A PARTIDOS POLÍTICOS. ES INCONSTITUCIONAL LIMITARLAS A LOS PROCESOS ELECTORALES</w:t>
      </w:r>
      <w:r w:rsidR="006D1209" w:rsidRPr="00664249">
        <w:rPr>
          <w:rFonts w:cs="Arial"/>
          <w:sz w:val="23"/>
          <w:szCs w:val="23"/>
          <w:lang w:val="es-ES_tradnl"/>
        </w:rPr>
        <w:t>”</w:t>
      </w:r>
      <w:r w:rsidR="006D1209" w:rsidRPr="00664249">
        <w:rPr>
          <w:rStyle w:val="Refdenotaalpie"/>
          <w:rFonts w:cs="Arial"/>
          <w:sz w:val="23"/>
          <w:szCs w:val="23"/>
          <w:lang w:val="es-ES_tradnl"/>
        </w:rPr>
        <w:footnoteReference w:id="1"/>
      </w:r>
      <w:r w:rsidR="006D1209" w:rsidRPr="00664249">
        <w:rPr>
          <w:rFonts w:cs="Arial"/>
          <w:sz w:val="23"/>
          <w:szCs w:val="23"/>
          <w:lang w:val="es-ES_tradnl"/>
        </w:rPr>
        <w:t xml:space="preserve">; </w:t>
      </w:r>
      <w:r w:rsidR="00CD4A7D" w:rsidRPr="00664249">
        <w:rPr>
          <w:rFonts w:cs="Arial"/>
          <w:sz w:val="23"/>
          <w:szCs w:val="23"/>
          <w:lang w:val="es-ES_tradnl"/>
        </w:rPr>
        <w:t xml:space="preserve">razón por la cual </w:t>
      </w:r>
      <w:r w:rsidR="006D1209" w:rsidRPr="00664249">
        <w:rPr>
          <w:rFonts w:cs="Arial"/>
          <w:sz w:val="23"/>
          <w:szCs w:val="23"/>
          <w:lang w:val="es-ES_tradnl"/>
        </w:rPr>
        <w:t xml:space="preserve">en el presente acuerdo </w:t>
      </w:r>
      <w:r w:rsidR="00CD4A7D" w:rsidRPr="00664249">
        <w:rPr>
          <w:rFonts w:cs="Arial"/>
          <w:sz w:val="23"/>
          <w:szCs w:val="23"/>
          <w:lang w:val="es-ES_tradnl"/>
        </w:rPr>
        <w:t>se determina el límite de dicha aportación.</w:t>
      </w:r>
    </w:p>
    <w:p w14:paraId="3FAA751F" w14:textId="77777777" w:rsidR="003B24E4" w:rsidRPr="00664249" w:rsidRDefault="003B24E4" w:rsidP="00D90C9F">
      <w:pPr>
        <w:pStyle w:val="Sinespaciado"/>
        <w:rPr>
          <w:rFonts w:ascii="Arial" w:hAnsi="Arial" w:cs="Arial"/>
          <w:sz w:val="23"/>
          <w:szCs w:val="23"/>
          <w:lang w:val="es-ES_tradnl"/>
        </w:rPr>
      </w:pPr>
    </w:p>
    <w:p w14:paraId="47C23354" w14:textId="095C0BA5" w:rsidR="00683159" w:rsidRPr="00664249" w:rsidRDefault="00267666" w:rsidP="00296136">
      <w:pPr>
        <w:spacing w:before="120" w:after="120" w:line="276" w:lineRule="auto"/>
        <w:jc w:val="both"/>
        <w:rPr>
          <w:rFonts w:cs="Arial"/>
          <w:sz w:val="23"/>
          <w:szCs w:val="23"/>
          <w:lang w:val="es-ES"/>
        </w:rPr>
      </w:pPr>
      <w:r w:rsidRPr="00664249">
        <w:rPr>
          <w:rFonts w:cs="Arial"/>
          <w:b/>
          <w:sz w:val="23"/>
          <w:szCs w:val="23"/>
        </w:rPr>
        <w:t>I</w:t>
      </w:r>
      <w:r w:rsidR="00AF5EE3" w:rsidRPr="00664249">
        <w:rPr>
          <w:rFonts w:cs="Arial"/>
          <w:b/>
          <w:sz w:val="23"/>
          <w:szCs w:val="23"/>
        </w:rPr>
        <w:t>X</w:t>
      </w:r>
      <w:r w:rsidR="00683159" w:rsidRPr="00664249">
        <w:rPr>
          <w:rFonts w:cs="Arial"/>
          <w:b/>
          <w:sz w:val="23"/>
          <w:szCs w:val="23"/>
        </w:rPr>
        <w:t>. DEL FINANCIAMIENTO PROHIBIDO</w:t>
      </w:r>
      <w:r w:rsidR="00683159" w:rsidRPr="00664249">
        <w:rPr>
          <w:rFonts w:cs="Arial"/>
          <w:sz w:val="23"/>
          <w:szCs w:val="23"/>
        </w:rPr>
        <w:t>. Que</w:t>
      </w:r>
      <w:r w:rsidR="004934B9" w:rsidRPr="00664249">
        <w:rPr>
          <w:rFonts w:cs="Arial"/>
          <w:sz w:val="23"/>
          <w:szCs w:val="23"/>
        </w:rPr>
        <w:t xml:space="preserve"> de acuerdo con lo señalado en el artículo </w:t>
      </w:r>
      <w:r w:rsidR="004934B9" w:rsidRPr="00664249">
        <w:rPr>
          <w:rFonts w:cs="Arial"/>
          <w:sz w:val="23"/>
          <w:szCs w:val="23"/>
          <w:lang w:val="es-ES"/>
        </w:rPr>
        <w:t>54 de la Ley General de Partidos Políticos,</w:t>
      </w:r>
      <w:r w:rsidR="002924E4" w:rsidRPr="00664249">
        <w:rPr>
          <w:rFonts w:cs="Arial"/>
          <w:sz w:val="23"/>
          <w:szCs w:val="23"/>
          <w:lang w:val="es-ES"/>
        </w:rPr>
        <w:t xml:space="preserve"> </w:t>
      </w:r>
      <w:r w:rsidR="00683159" w:rsidRPr="00664249">
        <w:rPr>
          <w:rFonts w:cs="Arial"/>
          <w:sz w:val="23"/>
          <w:szCs w:val="23"/>
        </w:rPr>
        <w:t>n</w:t>
      </w:r>
      <w:r w:rsidR="00683159" w:rsidRPr="00664249">
        <w:rPr>
          <w:rFonts w:cs="Arial"/>
          <w:sz w:val="23"/>
          <w:szCs w:val="23"/>
          <w:lang w:val="es-ES"/>
        </w:rPr>
        <w:t>o podrán realizar aportaciones o donativos a los partidos políticos ni a las y los aspirantes, las y los precandidatos o las y los candidatos a cargos de elección popular, en dinero o en especie, por sí o por interpósita persona</w:t>
      </w:r>
      <w:r w:rsidR="00683159" w:rsidRPr="00664249">
        <w:rPr>
          <w:rFonts w:cs="Arial"/>
          <w:b/>
          <w:sz w:val="23"/>
          <w:szCs w:val="23"/>
          <w:lang w:val="es-ES_tradnl"/>
        </w:rPr>
        <w:t xml:space="preserve"> </w:t>
      </w:r>
      <w:r w:rsidR="00683159" w:rsidRPr="00664249">
        <w:rPr>
          <w:rFonts w:cs="Arial"/>
          <w:sz w:val="23"/>
          <w:szCs w:val="23"/>
          <w:lang w:val="es-ES"/>
        </w:rPr>
        <w:t>y bajo ninguna circunstancia:</w:t>
      </w:r>
    </w:p>
    <w:p w14:paraId="5EB75CD9" w14:textId="77777777" w:rsidR="00D319FB" w:rsidRPr="00664249" w:rsidRDefault="00D319FB" w:rsidP="00296136">
      <w:pPr>
        <w:spacing w:before="120" w:after="120" w:line="276" w:lineRule="auto"/>
        <w:jc w:val="both"/>
        <w:rPr>
          <w:rFonts w:cs="Arial"/>
          <w:sz w:val="23"/>
          <w:szCs w:val="23"/>
          <w:lang w:val="es-ES"/>
        </w:rPr>
      </w:pPr>
    </w:p>
    <w:p w14:paraId="7C8C8193" w14:textId="03AC4FFD" w:rsidR="00683159" w:rsidRPr="00664249" w:rsidRDefault="00683159" w:rsidP="00296136">
      <w:pPr>
        <w:pStyle w:val="Prrafodelista"/>
        <w:numPr>
          <w:ilvl w:val="0"/>
          <w:numId w:val="6"/>
        </w:numPr>
        <w:spacing w:before="120" w:after="120" w:line="276" w:lineRule="auto"/>
        <w:jc w:val="both"/>
        <w:rPr>
          <w:rFonts w:cs="Arial"/>
          <w:sz w:val="23"/>
          <w:szCs w:val="23"/>
          <w:lang w:val="es-ES_tradnl"/>
        </w:rPr>
      </w:pPr>
      <w:r w:rsidRPr="00664249">
        <w:rPr>
          <w:rFonts w:cs="Arial"/>
          <w:sz w:val="23"/>
          <w:szCs w:val="23"/>
          <w:lang w:val="es-ES_tradnl"/>
        </w:rPr>
        <w:t>Los poderes Ejecutivo, Legislativo y Judicial de la Federación y de las entidades federativas, y los ayuntamientos, salvo en el caso del financiamiento público establecido en la Constitución y en la Ley General de Partidos Políticos.</w:t>
      </w:r>
    </w:p>
    <w:p w14:paraId="3553DD6A" w14:textId="1E3CA541" w:rsidR="00683159" w:rsidRPr="00664249" w:rsidRDefault="00683159" w:rsidP="00296136">
      <w:pPr>
        <w:pStyle w:val="Prrafodelista"/>
        <w:numPr>
          <w:ilvl w:val="0"/>
          <w:numId w:val="6"/>
        </w:numPr>
        <w:spacing w:before="120" w:after="120" w:line="276" w:lineRule="auto"/>
        <w:jc w:val="both"/>
        <w:rPr>
          <w:rFonts w:cs="Arial"/>
          <w:sz w:val="23"/>
          <w:szCs w:val="23"/>
          <w:lang w:val="es-ES_tradnl"/>
        </w:rPr>
      </w:pPr>
      <w:r w:rsidRPr="00664249">
        <w:rPr>
          <w:rFonts w:cs="Arial"/>
          <w:sz w:val="23"/>
          <w:szCs w:val="23"/>
          <w:lang w:val="es-ES_tradnl"/>
        </w:rPr>
        <w:t>Las dependencias, entidades u organismos de la administración pública federal, estatal o municipal, centralizada o paraestatal y los</w:t>
      </w:r>
      <w:r w:rsidR="00C16EAA" w:rsidRPr="00664249">
        <w:rPr>
          <w:rFonts w:cs="Arial"/>
          <w:sz w:val="23"/>
          <w:szCs w:val="23"/>
          <w:lang w:val="es-ES_tradnl"/>
        </w:rPr>
        <w:t xml:space="preserve"> órganos de gobierno de la c</w:t>
      </w:r>
      <w:r w:rsidRPr="00664249">
        <w:rPr>
          <w:rFonts w:cs="Arial"/>
          <w:sz w:val="23"/>
          <w:szCs w:val="23"/>
          <w:lang w:val="es-ES_tradnl"/>
        </w:rPr>
        <w:t>iudad de México.</w:t>
      </w:r>
    </w:p>
    <w:p w14:paraId="6D61FADB" w14:textId="34843324" w:rsidR="00683159" w:rsidRPr="00664249" w:rsidRDefault="00683159" w:rsidP="00296136">
      <w:pPr>
        <w:pStyle w:val="Prrafodelista"/>
        <w:numPr>
          <w:ilvl w:val="0"/>
          <w:numId w:val="6"/>
        </w:numPr>
        <w:spacing w:before="120" w:after="120" w:line="276" w:lineRule="auto"/>
        <w:jc w:val="both"/>
        <w:rPr>
          <w:rFonts w:cs="Arial"/>
          <w:sz w:val="23"/>
          <w:szCs w:val="23"/>
          <w:lang w:val="es-ES_tradnl"/>
        </w:rPr>
      </w:pPr>
      <w:r w:rsidRPr="00664249">
        <w:rPr>
          <w:rFonts w:cs="Arial"/>
          <w:sz w:val="23"/>
          <w:szCs w:val="23"/>
          <w:lang w:val="es-ES_tradnl"/>
        </w:rPr>
        <w:t>Los organismos autónomo</w:t>
      </w:r>
      <w:r w:rsidR="00C16EAA" w:rsidRPr="00664249">
        <w:rPr>
          <w:rFonts w:cs="Arial"/>
          <w:sz w:val="23"/>
          <w:szCs w:val="23"/>
          <w:lang w:val="es-ES_tradnl"/>
        </w:rPr>
        <w:t>s federales, estatales y de la c</w:t>
      </w:r>
      <w:r w:rsidRPr="00664249">
        <w:rPr>
          <w:rFonts w:cs="Arial"/>
          <w:sz w:val="23"/>
          <w:szCs w:val="23"/>
          <w:lang w:val="es-ES_tradnl"/>
        </w:rPr>
        <w:t>iudad de México.</w:t>
      </w:r>
    </w:p>
    <w:p w14:paraId="62E18B1C" w14:textId="02523578" w:rsidR="00683159" w:rsidRPr="00664249" w:rsidRDefault="00683159" w:rsidP="00296136">
      <w:pPr>
        <w:pStyle w:val="Prrafodelista"/>
        <w:numPr>
          <w:ilvl w:val="0"/>
          <w:numId w:val="6"/>
        </w:numPr>
        <w:spacing w:before="120" w:after="120" w:line="276" w:lineRule="auto"/>
        <w:jc w:val="both"/>
        <w:rPr>
          <w:rFonts w:cs="Arial"/>
          <w:sz w:val="23"/>
          <w:szCs w:val="23"/>
          <w:lang w:val="es-ES_tradnl"/>
        </w:rPr>
      </w:pPr>
      <w:r w:rsidRPr="00664249">
        <w:rPr>
          <w:rFonts w:cs="Arial"/>
          <w:sz w:val="23"/>
          <w:szCs w:val="23"/>
          <w:lang w:val="es-ES_tradnl"/>
        </w:rPr>
        <w:t>Los partidos políticos, personas físicas o morales extranjeras.</w:t>
      </w:r>
    </w:p>
    <w:p w14:paraId="01A28C37" w14:textId="52E66A19" w:rsidR="00683159" w:rsidRPr="00664249" w:rsidRDefault="00683159" w:rsidP="00296136">
      <w:pPr>
        <w:pStyle w:val="Prrafodelista"/>
        <w:numPr>
          <w:ilvl w:val="0"/>
          <w:numId w:val="6"/>
        </w:numPr>
        <w:spacing w:before="120" w:after="120" w:line="276" w:lineRule="auto"/>
        <w:jc w:val="both"/>
        <w:rPr>
          <w:rFonts w:cs="Arial"/>
          <w:sz w:val="23"/>
          <w:szCs w:val="23"/>
          <w:lang w:val="es-ES_tradnl"/>
        </w:rPr>
      </w:pPr>
      <w:r w:rsidRPr="00664249">
        <w:rPr>
          <w:rFonts w:cs="Arial"/>
          <w:sz w:val="23"/>
          <w:szCs w:val="23"/>
          <w:lang w:val="es-ES_tradnl"/>
        </w:rPr>
        <w:t>Los organismos internacionales de cualquier naturaleza.</w:t>
      </w:r>
    </w:p>
    <w:p w14:paraId="53E9C1B1" w14:textId="7677B65E" w:rsidR="00683159" w:rsidRPr="00664249" w:rsidRDefault="00683159" w:rsidP="00296136">
      <w:pPr>
        <w:pStyle w:val="Prrafodelista"/>
        <w:numPr>
          <w:ilvl w:val="0"/>
          <w:numId w:val="6"/>
        </w:numPr>
        <w:spacing w:before="120" w:after="120" w:line="276" w:lineRule="auto"/>
        <w:jc w:val="both"/>
        <w:rPr>
          <w:rFonts w:cs="Arial"/>
          <w:sz w:val="23"/>
          <w:szCs w:val="23"/>
          <w:lang w:val="es-ES_tradnl"/>
        </w:rPr>
      </w:pPr>
      <w:r w:rsidRPr="00664249">
        <w:rPr>
          <w:rFonts w:cs="Arial"/>
          <w:sz w:val="23"/>
          <w:szCs w:val="23"/>
          <w:lang w:val="es-ES_tradnl"/>
        </w:rPr>
        <w:t>Las personas morales.</w:t>
      </w:r>
    </w:p>
    <w:p w14:paraId="49B8877B" w14:textId="62904524" w:rsidR="00683159" w:rsidRPr="00664249" w:rsidRDefault="00683159" w:rsidP="00296136">
      <w:pPr>
        <w:pStyle w:val="Prrafodelista"/>
        <w:numPr>
          <w:ilvl w:val="0"/>
          <w:numId w:val="6"/>
        </w:numPr>
        <w:spacing w:before="120" w:after="120" w:line="276" w:lineRule="auto"/>
        <w:jc w:val="both"/>
        <w:rPr>
          <w:rFonts w:cs="Arial"/>
          <w:sz w:val="23"/>
          <w:szCs w:val="23"/>
          <w:lang w:val="es-ES_tradnl"/>
        </w:rPr>
      </w:pPr>
      <w:r w:rsidRPr="00664249">
        <w:rPr>
          <w:rFonts w:cs="Arial"/>
          <w:sz w:val="23"/>
          <w:szCs w:val="23"/>
          <w:lang w:val="es-ES_tradnl"/>
        </w:rPr>
        <w:t>Las personas que vivan o trabajan en el extranjero.</w:t>
      </w:r>
    </w:p>
    <w:p w14:paraId="4732595E" w14:textId="77777777" w:rsidR="00683159" w:rsidRPr="00664249" w:rsidRDefault="00683159" w:rsidP="00296136">
      <w:pPr>
        <w:spacing w:before="120" w:after="120" w:line="276" w:lineRule="auto"/>
        <w:jc w:val="both"/>
        <w:rPr>
          <w:rFonts w:cs="Arial"/>
          <w:b/>
          <w:sz w:val="23"/>
          <w:szCs w:val="23"/>
          <w:lang w:val="es-ES_tradnl"/>
        </w:rPr>
      </w:pPr>
    </w:p>
    <w:p w14:paraId="719B4343" w14:textId="65F9E4D2" w:rsidR="00683159" w:rsidRPr="00664249" w:rsidRDefault="00683159" w:rsidP="00296136">
      <w:pPr>
        <w:spacing w:before="120" w:after="120" w:line="276" w:lineRule="auto"/>
        <w:jc w:val="both"/>
        <w:rPr>
          <w:rFonts w:cs="Arial"/>
          <w:sz w:val="23"/>
          <w:szCs w:val="23"/>
          <w:lang w:val="es-ES"/>
        </w:rPr>
      </w:pPr>
      <w:r w:rsidRPr="00664249">
        <w:rPr>
          <w:rFonts w:cs="Arial"/>
          <w:sz w:val="23"/>
          <w:szCs w:val="23"/>
          <w:lang w:val="es-ES_tradnl"/>
        </w:rPr>
        <w:t xml:space="preserve">Asimismo, </w:t>
      </w:r>
      <w:r w:rsidRPr="00664249">
        <w:rPr>
          <w:rFonts w:cs="Arial"/>
          <w:sz w:val="23"/>
          <w:szCs w:val="23"/>
          <w:lang w:val="es-ES"/>
        </w:rPr>
        <w:t>los partidos políticos no podrán solicitar créditos provenientes de la banca de desarrollo para el financiamiento de sus actividades</w:t>
      </w:r>
      <w:r w:rsidR="004934B9" w:rsidRPr="00664249">
        <w:rPr>
          <w:rFonts w:cs="Arial"/>
          <w:sz w:val="23"/>
          <w:szCs w:val="23"/>
          <w:lang w:val="es-ES"/>
        </w:rPr>
        <w:t>.</w:t>
      </w:r>
    </w:p>
    <w:p w14:paraId="716DDCE8" w14:textId="77777777" w:rsidR="002E20D4" w:rsidRPr="00664249" w:rsidRDefault="002E20D4" w:rsidP="00D90C9F">
      <w:pPr>
        <w:pStyle w:val="Sinespaciado"/>
        <w:rPr>
          <w:rFonts w:ascii="Arial" w:hAnsi="Arial" w:cs="Arial"/>
          <w:sz w:val="23"/>
          <w:szCs w:val="23"/>
          <w:lang w:val="es-ES"/>
        </w:rPr>
      </w:pPr>
    </w:p>
    <w:p w14:paraId="2C1BFD1C" w14:textId="3D5A86B4" w:rsidR="00BB61D5" w:rsidRPr="00664249" w:rsidRDefault="00826553" w:rsidP="00296136">
      <w:pPr>
        <w:spacing w:before="120" w:after="120" w:line="276" w:lineRule="auto"/>
        <w:ind w:right="51"/>
        <w:jc w:val="both"/>
        <w:rPr>
          <w:rFonts w:cs="Arial"/>
          <w:sz w:val="23"/>
          <w:szCs w:val="23"/>
        </w:rPr>
      </w:pPr>
      <w:r w:rsidRPr="00664249">
        <w:rPr>
          <w:rFonts w:cs="Arial"/>
          <w:b/>
          <w:iCs/>
          <w:sz w:val="23"/>
          <w:szCs w:val="23"/>
          <w:lang w:val="es-ES_tradnl"/>
        </w:rPr>
        <w:t>X</w:t>
      </w:r>
      <w:r w:rsidR="00683159" w:rsidRPr="00664249">
        <w:rPr>
          <w:rFonts w:cs="Arial"/>
          <w:b/>
          <w:iCs/>
          <w:sz w:val="23"/>
          <w:szCs w:val="23"/>
          <w:lang w:val="es-ES_tradnl"/>
        </w:rPr>
        <w:t xml:space="preserve">. DE LA DETERMINACIÓN DE LOS MONTOS CORRESPONDIENTES A LOS LÍMITES DEL FINANCIAMIENTO PRIVADO. </w:t>
      </w:r>
      <w:r w:rsidR="00683159" w:rsidRPr="00664249">
        <w:rPr>
          <w:rFonts w:cs="Arial"/>
          <w:sz w:val="23"/>
          <w:szCs w:val="23"/>
        </w:rPr>
        <w:t xml:space="preserve">Que con base en lo anterior, el monto total del financiamiento privado que podrá obtener anualmente cada partido político acreditado </w:t>
      </w:r>
      <w:r w:rsidR="002447B6" w:rsidRPr="00664249">
        <w:rPr>
          <w:rFonts w:cs="Arial"/>
          <w:sz w:val="23"/>
          <w:szCs w:val="23"/>
        </w:rPr>
        <w:t xml:space="preserve">y registrado </w:t>
      </w:r>
      <w:r w:rsidR="00683159" w:rsidRPr="00664249">
        <w:rPr>
          <w:rFonts w:cs="Arial"/>
          <w:sz w:val="23"/>
          <w:szCs w:val="23"/>
        </w:rPr>
        <w:t xml:space="preserve">ante </w:t>
      </w:r>
      <w:r w:rsidR="00FB249D" w:rsidRPr="00664249">
        <w:rPr>
          <w:rFonts w:cs="Arial"/>
          <w:sz w:val="23"/>
          <w:szCs w:val="23"/>
        </w:rPr>
        <w:t>este</w:t>
      </w:r>
      <w:r w:rsidR="00683159" w:rsidRPr="00664249">
        <w:rPr>
          <w:rFonts w:cs="Arial"/>
          <w:sz w:val="23"/>
          <w:szCs w:val="23"/>
        </w:rPr>
        <w:t xml:space="preserve"> organismo electoral</w:t>
      </w:r>
      <w:r w:rsidR="002447B6" w:rsidRPr="00664249">
        <w:rPr>
          <w:rFonts w:cs="Arial"/>
          <w:sz w:val="23"/>
          <w:szCs w:val="23"/>
        </w:rPr>
        <w:t>,</w:t>
      </w:r>
      <w:r w:rsidR="00683159" w:rsidRPr="00664249">
        <w:rPr>
          <w:rFonts w:cs="Arial"/>
          <w:sz w:val="23"/>
          <w:szCs w:val="23"/>
        </w:rPr>
        <w:t xml:space="preserve"> se encuentra calculado y determinado en el </w:t>
      </w:r>
      <w:r w:rsidR="004B7D85" w:rsidRPr="00664249">
        <w:rPr>
          <w:rFonts w:cs="Arial"/>
          <w:b/>
          <w:sz w:val="23"/>
          <w:szCs w:val="23"/>
        </w:rPr>
        <w:t>ANEXO</w:t>
      </w:r>
      <w:r w:rsidR="00683159" w:rsidRPr="00664249">
        <w:rPr>
          <w:rFonts w:cs="Arial"/>
          <w:sz w:val="23"/>
          <w:szCs w:val="23"/>
        </w:rPr>
        <w:t xml:space="preserve"> que se acompaña a este acuerdo y que forma parte integral del mismo</w:t>
      </w:r>
      <w:r w:rsidR="00BB61D5" w:rsidRPr="00664249">
        <w:rPr>
          <w:rFonts w:cs="Arial"/>
          <w:sz w:val="23"/>
          <w:szCs w:val="23"/>
        </w:rPr>
        <w:t xml:space="preserve">, el cual contiene el </w:t>
      </w:r>
      <w:r w:rsidR="00BB61D5" w:rsidRPr="00664249">
        <w:rPr>
          <w:rFonts w:cs="Arial"/>
          <w:bCs/>
          <w:sz w:val="23"/>
          <w:szCs w:val="23"/>
        </w:rPr>
        <w:t>cálculo de los montos sobre los límites anuales de financiamiento privado que podrán percibir los partidos político</w:t>
      </w:r>
      <w:r w:rsidR="0069479F" w:rsidRPr="00664249">
        <w:rPr>
          <w:rFonts w:cs="Arial"/>
          <w:bCs/>
          <w:sz w:val="23"/>
          <w:szCs w:val="23"/>
        </w:rPr>
        <w:t>s</w:t>
      </w:r>
      <w:r w:rsidR="00BB61D5" w:rsidRPr="00664249">
        <w:rPr>
          <w:rFonts w:cs="Arial"/>
          <w:bCs/>
          <w:sz w:val="23"/>
          <w:szCs w:val="23"/>
        </w:rPr>
        <w:t xml:space="preserve"> nacionales con acreditación en el estado de Jalisco y los partidos políticos locales, durante el año dos mil veinti</w:t>
      </w:r>
      <w:r w:rsidR="00D4415F" w:rsidRPr="00664249">
        <w:rPr>
          <w:rFonts w:cs="Arial"/>
          <w:bCs/>
          <w:sz w:val="23"/>
          <w:szCs w:val="23"/>
        </w:rPr>
        <w:t>trés</w:t>
      </w:r>
      <w:r w:rsidR="00BB61D5" w:rsidRPr="00664249">
        <w:rPr>
          <w:rFonts w:cs="Arial"/>
          <w:bCs/>
          <w:sz w:val="23"/>
          <w:szCs w:val="23"/>
        </w:rPr>
        <w:t xml:space="preserve">. </w:t>
      </w:r>
    </w:p>
    <w:p w14:paraId="1F484F7A" w14:textId="77777777" w:rsidR="00296136" w:rsidRPr="00664249" w:rsidRDefault="00296136" w:rsidP="00296136">
      <w:pPr>
        <w:spacing w:before="120" w:after="120" w:line="276" w:lineRule="auto"/>
        <w:jc w:val="both"/>
        <w:rPr>
          <w:rFonts w:cs="Arial"/>
          <w:sz w:val="23"/>
          <w:szCs w:val="23"/>
        </w:rPr>
      </w:pPr>
    </w:p>
    <w:p w14:paraId="04CF5C87" w14:textId="77777777" w:rsidR="00683159" w:rsidRPr="00664249" w:rsidRDefault="00683159" w:rsidP="00296136">
      <w:pPr>
        <w:spacing w:before="120" w:after="120" w:line="276" w:lineRule="auto"/>
        <w:jc w:val="both"/>
        <w:rPr>
          <w:rFonts w:cs="Arial"/>
          <w:sz w:val="23"/>
          <w:szCs w:val="23"/>
        </w:rPr>
      </w:pPr>
      <w:r w:rsidRPr="00664249">
        <w:rPr>
          <w:rFonts w:cs="Arial"/>
          <w:sz w:val="23"/>
          <w:szCs w:val="23"/>
        </w:rPr>
        <w:t xml:space="preserve">Por lo antes expuesto y fundamentado se proponen los siguientes puntos de  </w:t>
      </w:r>
    </w:p>
    <w:p w14:paraId="221D567A" w14:textId="77777777" w:rsidR="00683159" w:rsidRPr="00664249" w:rsidRDefault="00683159" w:rsidP="00D90C9F">
      <w:pPr>
        <w:pStyle w:val="Sinespaciado"/>
        <w:rPr>
          <w:rFonts w:ascii="Arial" w:hAnsi="Arial" w:cs="Arial"/>
          <w:sz w:val="23"/>
          <w:szCs w:val="23"/>
        </w:rPr>
      </w:pPr>
    </w:p>
    <w:p w14:paraId="5A8B38F8" w14:textId="73E918F4" w:rsidR="00683159" w:rsidRPr="00664249" w:rsidRDefault="00683159" w:rsidP="00296136">
      <w:pPr>
        <w:spacing w:before="120" w:after="120" w:line="276" w:lineRule="auto"/>
        <w:jc w:val="center"/>
        <w:rPr>
          <w:rFonts w:cs="Arial"/>
          <w:b/>
          <w:sz w:val="23"/>
          <w:szCs w:val="23"/>
          <w:lang w:val="pt-BR"/>
        </w:rPr>
      </w:pPr>
      <w:r w:rsidRPr="00664249">
        <w:rPr>
          <w:rFonts w:cs="Arial"/>
          <w:b/>
          <w:sz w:val="23"/>
          <w:szCs w:val="23"/>
          <w:lang w:val="pt-BR"/>
        </w:rPr>
        <w:t>A C U E R D O</w:t>
      </w:r>
    </w:p>
    <w:p w14:paraId="506F3031" w14:textId="77777777" w:rsidR="00262897" w:rsidRPr="00664249" w:rsidRDefault="00262897" w:rsidP="00D90C9F">
      <w:pPr>
        <w:pStyle w:val="Sinespaciado"/>
        <w:rPr>
          <w:rFonts w:ascii="Arial" w:hAnsi="Arial" w:cs="Arial"/>
          <w:sz w:val="23"/>
          <w:szCs w:val="23"/>
          <w:lang w:val="pt-BR"/>
        </w:rPr>
      </w:pPr>
    </w:p>
    <w:p w14:paraId="14FDFD40" w14:textId="196299EB" w:rsidR="00683159" w:rsidRPr="00664249" w:rsidRDefault="00D0447E" w:rsidP="00296136">
      <w:pPr>
        <w:spacing w:before="120" w:after="120" w:line="276" w:lineRule="auto"/>
        <w:jc w:val="both"/>
        <w:rPr>
          <w:rFonts w:cs="Arial"/>
          <w:sz w:val="23"/>
          <w:szCs w:val="23"/>
        </w:rPr>
      </w:pPr>
      <w:r w:rsidRPr="00664249">
        <w:rPr>
          <w:rFonts w:cs="Arial"/>
          <w:b/>
          <w:sz w:val="23"/>
          <w:szCs w:val="23"/>
          <w:lang w:val="pt-BR"/>
        </w:rPr>
        <w:t>PRIMERO.</w:t>
      </w:r>
      <w:r w:rsidRPr="00664249">
        <w:rPr>
          <w:rFonts w:cs="Arial"/>
          <w:sz w:val="23"/>
          <w:szCs w:val="23"/>
          <w:lang w:val="pt-BR"/>
        </w:rPr>
        <w:t xml:space="preserve"> </w:t>
      </w:r>
      <w:r w:rsidR="00683159" w:rsidRPr="00664249">
        <w:rPr>
          <w:rFonts w:cs="Arial"/>
          <w:sz w:val="23"/>
          <w:szCs w:val="23"/>
        </w:rPr>
        <w:t>Se determinan los montos sobre los límites anuales de financiamiento privado que podrá</w:t>
      </w:r>
      <w:r w:rsidR="006E6E1B" w:rsidRPr="00664249">
        <w:rPr>
          <w:rFonts w:cs="Arial"/>
          <w:sz w:val="23"/>
          <w:szCs w:val="23"/>
        </w:rPr>
        <w:t>n</w:t>
      </w:r>
      <w:r w:rsidR="00683159" w:rsidRPr="00664249">
        <w:rPr>
          <w:rFonts w:cs="Arial"/>
          <w:sz w:val="23"/>
          <w:szCs w:val="23"/>
        </w:rPr>
        <w:t xml:space="preserve"> percibir </w:t>
      </w:r>
      <w:r w:rsidR="006E6E1B" w:rsidRPr="00664249">
        <w:rPr>
          <w:rFonts w:cs="Arial"/>
          <w:sz w:val="23"/>
          <w:szCs w:val="23"/>
        </w:rPr>
        <w:t>los</w:t>
      </w:r>
      <w:r w:rsidR="00683159" w:rsidRPr="00664249">
        <w:rPr>
          <w:rFonts w:cs="Arial"/>
          <w:sz w:val="23"/>
          <w:szCs w:val="23"/>
        </w:rPr>
        <w:t xml:space="preserve"> partido</w:t>
      </w:r>
      <w:r w:rsidR="006E6E1B" w:rsidRPr="00664249">
        <w:rPr>
          <w:rFonts w:cs="Arial"/>
          <w:sz w:val="23"/>
          <w:szCs w:val="23"/>
        </w:rPr>
        <w:t>s</w:t>
      </w:r>
      <w:r w:rsidR="00683159" w:rsidRPr="00664249">
        <w:rPr>
          <w:rFonts w:cs="Arial"/>
          <w:sz w:val="23"/>
          <w:szCs w:val="23"/>
        </w:rPr>
        <w:t xml:space="preserve"> político</w:t>
      </w:r>
      <w:r w:rsidR="006E6E1B" w:rsidRPr="00664249">
        <w:rPr>
          <w:rFonts w:cs="Arial"/>
          <w:sz w:val="23"/>
          <w:szCs w:val="23"/>
        </w:rPr>
        <w:t>s</w:t>
      </w:r>
      <w:r w:rsidR="00683159" w:rsidRPr="00664249">
        <w:rPr>
          <w:rFonts w:cs="Arial"/>
          <w:sz w:val="23"/>
          <w:szCs w:val="23"/>
        </w:rPr>
        <w:t xml:space="preserve"> </w:t>
      </w:r>
      <w:r w:rsidR="006E6E1B" w:rsidRPr="00664249">
        <w:rPr>
          <w:rFonts w:cs="Arial"/>
          <w:sz w:val="23"/>
          <w:szCs w:val="23"/>
        </w:rPr>
        <w:t xml:space="preserve">nacionales con acreditación en el </w:t>
      </w:r>
      <w:r w:rsidR="006E6E1B" w:rsidRPr="00664249">
        <w:rPr>
          <w:rFonts w:cs="Arial"/>
          <w:sz w:val="23"/>
          <w:szCs w:val="23"/>
        </w:rPr>
        <w:lastRenderedPageBreak/>
        <w:t>estado de Jalisco y los partidos políticos locales</w:t>
      </w:r>
      <w:r w:rsidR="0007764A" w:rsidRPr="00664249">
        <w:rPr>
          <w:rFonts w:cs="Arial"/>
          <w:sz w:val="23"/>
          <w:szCs w:val="23"/>
        </w:rPr>
        <w:t xml:space="preserve"> </w:t>
      </w:r>
      <w:r w:rsidR="001E198F" w:rsidRPr="00664249">
        <w:rPr>
          <w:rFonts w:cs="Arial"/>
          <w:sz w:val="23"/>
          <w:szCs w:val="23"/>
        </w:rPr>
        <w:t xml:space="preserve">con registro ante este </w:t>
      </w:r>
      <w:r w:rsidR="0007764A" w:rsidRPr="00664249">
        <w:rPr>
          <w:rFonts w:cs="Arial"/>
          <w:sz w:val="23"/>
          <w:szCs w:val="23"/>
        </w:rPr>
        <w:t>I</w:t>
      </w:r>
      <w:r w:rsidR="001E198F" w:rsidRPr="00664249">
        <w:rPr>
          <w:rFonts w:cs="Arial"/>
          <w:sz w:val="23"/>
          <w:szCs w:val="23"/>
        </w:rPr>
        <w:t>nstituto</w:t>
      </w:r>
      <w:r w:rsidR="006E6E1B" w:rsidRPr="00664249">
        <w:rPr>
          <w:rFonts w:cs="Arial"/>
          <w:sz w:val="23"/>
          <w:szCs w:val="23"/>
        </w:rPr>
        <w:t>, durante el año dos mil veint</w:t>
      </w:r>
      <w:r w:rsidR="008F0B14" w:rsidRPr="00664249">
        <w:rPr>
          <w:rFonts w:cs="Arial"/>
          <w:sz w:val="23"/>
          <w:szCs w:val="23"/>
        </w:rPr>
        <w:t>i</w:t>
      </w:r>
      <w:r w:rsidR="00D4415F" w:rsidRPr="00664249">
        <w:rPr>
          <w:rFonts w:cs="Arial"/>
          <w:sz w:val="23"/>
          <w:szCs w:val="23"/>
        </w:rPr>
        <w:t>trés</w:t>
      </w:r>
      <w:r w:rsidR="00683159" w:rsidRPr="00664249">
        <w:rPr>
          <w:rFonts w:cs="Arial"/>
          <w:iCs/>
          <w:sz w:val="23"/>
          <w:szCs w:val="23"/>
        </w:rPr>
        <w:t>,</w:t>
      </w:r>
      <w:r w:rsidR="00683159" w:rsidRPr="00664249">
        <w:rPr>
          <w:rFonts w:cs="Arial"/>
          <w:sz w:val="23"/>
          <w:szCs w:val="23"/>
        </w:rPr>
        <w:t xml:space="preserve"> en términos del considerando </w:t>
      </w:r>
      <w:r w:rsidRPr="00664249">
        <w:rPr>
          <w:rFonts w:cs="Arial"/>
          <w:b/>
          <w:bCs/>
          <w:sz w:val="23"/>
          <w:szCs w:val="23"/>
        </w:rPr>
        <w:t>X</w:t>
      </w:r>
      <w:r w:rsidR="00683159" w:rsidRPr="00664249">
        <w:rPr>
          <w:rFonts w:cs="Arial"/>
          <w:sz w:val="23"/>
          <w:szCs w:val="23"/>
        </w:rPr>
        <w:t xml:space="preserve"> de</w:t>
      </w:r>
      <w:r w:rsidR="001E198F" w:rsidRPr="00664249">
        <w:rPr>
          <w:rFonts w:cs="Arial"/>
          <w:sz w:val="23"/>
          <w:szCs w:val="23"/>
        </w:rPr>
        <w:t xml:space="preserve">l presente </w:t>
      </w:r>
      <w:r w:rsidR="00683159" w:rsidRPr="00664249">
        <w:rPr>
          <w:rFonts w:cs="Arial"/>
          <w:sz w:val="23"/>
          <w:szCs w:val="23"/>
        </w:rPr>
        <w:t>acuerdo</w:t>
      </w:r>
      <w:r w:rsidR="002E3395" w:rsidRPr="00664249">
        <w:rPr>
          <w:rFonts w:cs="Arial"/>
          <w:sz w:val="23"/>
          <w:szCs w:val="23"/>
        </w:rPr>
        <w:t xml:space="preserve"> y del </w:t>
      </w:r>
      <w:r w:rsidR="002E3395" w:rsidRPr="00664249">
        <w:rPr>
          <w:rFonts w:cs="Arial"/>
          <w:b/>
          <w:sz w:val="23"/>
          <w:szCs w:val="23"/>
        </w:rPr>
        <w:t>ANEXO</w:t>
      </w:r>
      <w:r w:rsidR="002E3395" w:rsidRPr="00664249">
        <w:rPr>
          <w:rFonts w:cs="Arial"/>
          <w:sz w:val="23"/>
          <w:szCs w:val="23"/>
        </w:rPr>
        <w:t xml:space="preserve"> que forma parte integral del mismo</w:t>
      </w:r>
      <w:r w:rsidR="00683159" w:rsidRPr="00664249">
        <w:rPr>
          <w:rFonts w:cs="Arial"/>
          <w:sz w:val="23"/>
          <w:szCs w:val="23"/>
        </w:rPr>
        <w:t xml:space="preserve">. </w:t>
      </w:r>
    </w:p>
    <w:p w14:paraId="6EE94A5A" w14:textId="77777777" w:rsidR="00683159" w:rsidRPr="00664249" w:rsidRDefault="00683159" w:rsidP="00296136">
      <w:pPr>
        <w:spacing w:before="120" w:after="120" w:line="276" w:lineRule="auto"/>
        <w:jc w:val="both"/>
        <w:rPr>
          <w:rFonts w:cs="Arial"/>
          <w:b/>
          <w:sz w:val="23"/>
          <w:szCs w:val="23"/>
        </w:rPr>
      </w:pPr>
    </w:p>
    <w:p w14:paraId="06D65131" w14:textId="77777777" w:rsidR="00D0447E" w:rsidRPr="00664249" w:rsidRDefault="00D0447E" w:rsidP="00296136">
      <w:pPr>
        <w:spacing w:before="120" w:after="120" w:line="276" w:lineRule="auto"/>
        <w:jc w:val="both"/>
        <w:rPr>
          <w:rFonts w:cs="Arial"/>
          <w:sz w:val="23"/>
          <w:szCs w:val="23"/>
        </w:rPr>
      </w:pPr>
      <w:r w:rsidRPr="00664249">
        <w:rPr>
          <w:rFonts w:cs="Arial"/>
          <w:b/>
          <w:sz w:val="23"/>
          <w:szCs w:val="23"/>
        </w:rPr>
        <w:t>SEGUNDO.</w:t>
      </w:r>
      <w:r w:rsidR="00683159" w:rsidRPr="00664249">
        <w:rPr>
          <w:rFonts w:cs="Arial"/>
          <w:sz w:val="23"/>
          <w:szCs w:val="23"/>
        </w:rPr>
        <w:t xml:space="preserve"> </w:t>
      </w:r>
      <w:r w:rsidRPr="00664249">
        <w:rPr>
          <w:rFonts w:cs="Arial"/>
          <w:sz w:val="23"/>
          <w:szCs w:val="23"/>
        </w:rPr>
        <w:t>Hágase del conocimiento este acuerdo al Instituto Nacional Electoral, a través del Sistema de Vinculación con los Organismos Públicos Locales Electorales, para los efectos correspondientes.</w:t>
      </w:r>
    </w:p>
    <w:p w14:paraId="66F566E4" w14:textId="77777777" w:rsidR="00683159" w:rsidRPr="00664249" w:rsidRDefault="00683159" w:rsidP="00296136">
      <w:pPr>
        <w:autoSpaceDE w:val="0"/>
        <w:autoSpaceDN w:val="0"/>
        <w:adjustRightInd w:val="0"/>
        <w:spacing w:before="120" w:after="120" w:line="276" w:lineRule="auto"/>
        <w:jc w:val="both"/>
        <w:rPr>
          <w:rFonts w:cs="Arial"/>
          <w:sz w:val="23"/>
          <w:szCs w:val="23"/>
        </w:rPr>
      </w:pPr>
    </w:p>
    <w:p w14:paraId="6F792B77" w14:textId="2E8F4E01" w:rsidR="00D0447E" w:rsidRPr="00664249" w:rsidRDefault="00D0447E" w:rsidP="00296136">
      <w:pPr>
        <w:autoSpaceDE w:val="0"/>
        <w:spacing w:before="120" w:after="120" w:line="276" w:lineRule="auto"/>
        <w:jc w:val="both"/>
        <w:rPr>
          <w:rFonts w:cs="Arial"/>
          <w:sz w:val="23"/>
          <w:szCs w:val="23"/>
        </w:rPr>
      </w:pPr>
      <w:r w:rsidRPr="00664249">
        <w:rPr>
          <w:rFonts w:cs="Arial"/>
          <w:b/>
          <w:sz w:val="23"/>
          <w:szCs w:val="23"/>
        </w:rPr>
        <w:t>TERCERO</w:t>
      </w:r>
      <w:r w:rsidRPr="00664249">
        <w:rPr>
          <w:rFonts w:cs="Arial"/>
          <w:b/>
          <w:bCs/>
          <w:sz w:val="23"/>
          <w:szCs w:val="23"/>
        </w:rPr>
        <w:t>.</w:t>
      </w:r>
      <w:r w:rsidRPr="00664249">
        <w:rPr>
          <w:rFonts w:cs="Arial"/>
          <w:bCs/>
          <w:sz w:val="23"/>
          <w:szCs w:val="23"/>
        </w:rPr>
        <w:t xml:space="preserve"> </w:t>
      </w:r>
      <w:r w:rsidRPr="00664249">
        <w:rPr>
          <w:rFonts w:cs="Arial"/>
          <w:sz w:val="23"/>
          <w:szCs w:val="23"/>
        </w:rPr>
        <w:t>Notifíquese el contenido de este acuerdo a los partidos políticos registrados y acreditados</w:t>
      </w:r>
      <w:r w:rsidR="00FF3BE2" w:rsidRPr="00664249">
        <w:rPr>
          <w:rFonts w:cs="Arial"/>
          <w:sz w:val="23"/>
          <w:szCs w:val="23"/>
        </w:rPr>
        <w:t xml:space="preserve"> ante este organismo electoral</w:t>
      </w:r>
      <w:r w:rsidRPr="00664249">
        <w:rPr>
          <w:rFonts w:cs="Arial"/>
          <w:sz w:val="23"/>
          <w:szCs w:val="23"/>
        </w:rPr>
        <w:t>, mediante el correo electrónico registrado en este Instituto y publíquese en el Periódico Oficial “El Estado de Jalisco”, así como en la página oficial de internet de este Instituto.</w:t>
      </w:r>
    </w:p>
    <w:p w14:paraId="1E8F2AE1" w14:textId="77777777" w:rsidR="00D319FB" w:rsidRPr="00664249" w:rsidRDefault="00D319FB" w:rsidP="00D90C9F">
      <w:pPr>
        <w:pStyle w:val="Sinespaciado"/>
        <w:rPr>
          <w:rFonts w:ascii="Arial" w:hAnsi="Arial" w:cs="Arial"/>
          <w:sz w:val="23"/>
          <w:szCs w:val="23"/>
          <w:lang w:val="es-ES"/>
        </w:rPr>
      </w:pPr>
    </w:p>
    <w:p w14:paraId="184C5E06" w14:textId="3EB42A04" w:rsidR="00E40955" w:rsidRPr="00664249" w:rsidRDefault="00E06F7C" w:rsidP="00D90C9F">
      <w:pPr>
        <w:pStyle w:val="Sinespaciado"/>
        <w:jc w:val="center"/>
        <w:rPr>
          <w:rFonts w:ascii="Arial" w:hAnsi="Arial" w:cs="Arial"/>
          <w:b/>
          <w:sz w:val="23"/>
          <w:szCs w:val="23"/>
          <w:lang w:val="es-ES"/>
        </w:rPr>
      </w:pPr>
      <w:r w:rsidRPr="00664249">
        <w:rPr>
          <w:rFonts w:ascii="Arial" w:hAnsi="Arial" w:cs="Arial"/>
          <w:b/>
          <w:sz w:val="23"/>
          <w:szCs w:val="23"/>
          <w:lang w:val="es-ES"/>
        </w:rPr>
        <w:t>Guadalajara, Jalisco;</w:t>
      </w:r>
      <w:r w:rsidR="00E40955" w:rsidRPr="00664249">
        <w:rPr>
          <w:rFonts w:ascii="Arial" w:hAnsi="Arial" w:cs="Arial"/>
          <w:b/>
          <w:sz w:val="23"/>
          <w:szCs w:val="23"/>
          <w:lang w:val="es-ES"/>
        </w:rPr>
        <w:t xml:space="preserve"> a </w:t>
      </w:r>
      <w:r w:rsidR="00D90C9F" w:rsidRPr="00664249">
        <w:rPr>
          <w:rFonts w:ascii="Arial" w:hAnsi="Arial" w:cs="Arial"/>
          <w:b/>
          <w:sz w:val="23"/>
          <w:szCs w:val="23"/>
          <w:lang w:val="es-ES"/>
        </w:rPr>
        <w:t>15</w:t>
      </w:r>
      <w:r w:rsidR="00E40955" w:rsidRPr="00664249">
        <w:rPr>
          <w:rFonts w:ascii="Arial" w:hAnsi="Arial" w:cs="Arial"/>
          <w:b/>
          <w:sz w:val="23"/>
          <w:szCs w:val="23"/>
          <w:lang w:val="es-ES"/>
        </w:rPr>
        <w:t xml:space="preserve"> de diciembre de 202</w:t>
      </w:r>
      <w:r w:rsidR="008B7CBE" w:rsidRPr="00664249">
        <w:rPr>
          <w:rFonts w:ascii="Arial" w:hAnsi="Arial" w:cs="Arial"/>
          <w:b/>
          <w:sz w:val="23"/>
          <w:szCs w:val="23"/>
          <w:lang w:val="es-ES"/>
        </w:rPr>
        <w:t>2</w:t>
      </w:r>
    </w:p>
    <w:p w14:paraId="67FADADC" w14:textId="4D1427AA" w:rsidR="00627C15" w:rsidRPr="00664249" w:rsidRDefault="00627C15" w:rsidP="00D90C9F">
      <w:pPr>
        <w:pStyle w:val="Sinespaciado"/>
        <w:jc w:val="center"/>
        <w:rPr>
          <w:rFonts w:ascii="Arial" w:hAnsi="Arial" w:cs="Arial"/>
          <w:b/>
          <w:sz w:val="23"/>
          <w:szCs w:val="23"/>
          <w:lang w:val="es-ES"/>
        </w:rPr>
      </w:pPr>
    </w:p>
    <w:p w14:paraId="19427037" w14:textId="77777777" w:rsidR="00262897" w:rsidRPr="00664249" w:rsidRDefault="00262897" w:rsidP="00D90C9F">
      <w:pPr>
        <w:pStyle w:val="Sinespaciado"/>
        <w:jc w:val="center"/>
        <w:rPr>
          <w:rFonts w:ascii="Arial" w:hAnsi="Arial" w:cs="Arial"/>
          <w:b/>
          <w:sz w:val="23"/>
          <w:szCs w:val="23"/>
          <w:lang w:val="es-ES"/>
        </w:rPr>
      </w:pPr>
    </w:p>
    <w:p w14:paraId="6CB32241" w14:textId="77777777" w:rsidR="00D90C9F" w:rsidRPr="00664249" w:rsidRDefault="00D90C9F" w:rsidP="00D90C9F">
      <w:pPr>
        <w:pStyle w:val="Sinespaciado"/>
        <w:jc w:val="center"/>
        <w:rPr>
          <w:rFonts w:ascii="Arial" w:hAnsi="Arial" w:cs="Arial"/>
          <w:b/>
          <w:sz w:val="23"/>
          <w:szCs w:val="23"/>
          <w:lang w:val="es-ES"/>
        </w:rPr>
      </w:pPr>
    </w:p>
    <w:tbl>
      <w:tblPr>
        <w:tblW w:w="10207" w:type="dxa"/>
        <w:tblInd w:w="-5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8B7CBE" w:rsidRPr="00664249" w14:paraId="103D3A30" w14:textId="77777777" w:rsidTr="00627C15">
        <w:tc>
          <w:tcPr>
            <w:tcW w:w="5070" w:type="dxa"/>
            <w:shd w:val="clear" w:color="auto" w:fill="auto"/>
          </w:tcPr>
          <w:p w14:paraId="350E291F" w14:textId="77777777" w:rsidR="00627C15" w:rsidRPr="00664249" w:rsidRDefault="00627C15" w:rsidP="00D90C9F">
            <w:pPr>
              <w:pStyle w:val="Sinespaciado"/>
              <w:jc w:val="center"/>
              <w:rPr>
                <w:rFonts w:ascii="Arial" w:eastAsia="Calibri" w:hAnsi="Arial" w:cs="Arial"/>
                <w:b/>
                <w:sz w:val="23"/>
                <w:szCs w:val="23"/>
                <w:lang w:eastAsia="en-US"/>
              </w:rPr>
            </w:pPr>
          </w:p>
          <w:p w14:paraId="03465D4F" w14:textId="77777777" w:rsidR="008B7CBE" w:rsidRPr="00664249" w:rsidRDefault="008B7CBE" w:rsidP="00D90C9F">
            <w:pPr>
              <w:pStyle w:val="Sinespaciado"/>
              <w:jc w:val="center"/>
              <w:rPr>
                <w:rFonts w:ascii="Arial" w:eastAsia="Calibri" w:hAnsi="Arial" w:cs="Arial"/>
                <w:b/>
                <w:sz w:val="23"/>
                <w:szCs w:val="23"/>
                <w:lang w:eastAsia="en-US"/>
              </w:rPr>
            </w:pPr>
            <w:r w:rsidRPr="00664249">
              <w:rPr>
                <w:rFonts w:ascii="Arial" w:eastAsia="Calibri" w:hAnsi="Arial" w:cs="Arial"/>
                <w:b/>
                <w:sz w:val="23"/>
                <w:szCs w:val="23"/>
                <w:lang w:eastAsia="en-US"/>
              </w:rPr>
              <w:t xml:space="preserve">Mtra. Paula Ramírez </w:t>
            </w:r>
            <w:proofErr w:type="spellStart"/>
            <w:r w:rsidRPr="00664249">
              <w:rPr>
                <w:rFonts w:ascii="Arial" w:eastAsia="Calibri" w:hAnsi="Arial" w:cs="Arial"/>
                <w:b/>
                <w:sz w:val="23"/>
                <w:szCs w:val="23"/>
                <w:lang w:eastAsia="en-US"/>
              </w:rPr>
              <w:t>Höhne</w:t>
            </w:r>
            <w:proofErr w:type="spellEnd"/>
          </w:p>
          <w:p w14:paraId="3D764876" w14:textId="77777777" w:rsidR="008B7CBE" w:rsidRPr="00664249" w:rsidRDefault="008B7CBE" w:rsidP="00D90C9F">
            <w:pPr>
              <w:pStyle w:val="Sinespaciado"/>
              <w:jc w:val="center"/>
              <w:rPr>
                <w:rFonts w:ascii="Arial" w:eastAsia="Calibri" w:hAnsi="Arial" w:cs="Arial"/>
                <w:b/>
                <w:sz w:val="23"/>
                <w:szCs w:val="23"/>
                <w:lang w:eastAsia="en-US"/>
              </w:rPr>
            </w:pPr>
            <w:r w:rsidRPr="00664249">
              <w:rPr>
                <w:rFonts w:ascii="Arial" w:eastAsia="Calibri" w:hAnsi="Arial" w:cs="Arial"/>
                <w:b/>
                <w:sz w:val="23"/>
                <w:szCs w:val="23"/>
                <w:lang w:eastAsia="en-US"/>
              </w:rPr>
              <w:t>La consejera presidenta</w:t>
            </w:r>
          </w:p>
        </w:tc>
        <w:tc>
          <w:tcPr>
            <w:tcW w:w="5137" w:type="dxa"/>
            <w:shd w:val="clear" w:color="auto" w:fill="auto"/>
          </w:tcPr>
          <w:p w14:paraId="496204D8" w14:textId="77777777" w:rsidR="008B7CBE" w:rsidRPr="00664249" w:rsidRDefault="008B7CBE" w:rsidP="00D90C9F">
            <w:pPr>
              <w:pStyle w:val="Sinespaciado"/>
              <w:jc w:val="center"/>
              <w:rPr>
                <w:rFonts w:ascii="Arial" w:eastAsia="Calibri" w:hAnsi="Arial" w:cs="Arial"/>
                <w:b/>
                <w:sz w:val="23"/>
                <w:szCs w:val="23"/>
                <w:lang w:eastAsia="en-US"/>
              </w:rPr>
            </w:pPr>
          </w:p>
          <w:p w14:paraId="5060AEDB" w14:textId="0B399865" w:rsidR="008B7CBE" w:rsidRPr="00664249" w:rsidRDefault="008B7CBE" w:rsidP="00D90C9F">
            <w:pPr>
              <w:pStyle w:val="Sinespaciado"/>
              <w:jc w:val="center"/>
              <w:rPr>
                <w:rFonts w:ascii="Arial" w:eastAsia="Calibri" w:hAnsi="Arial" w:cs="Arial"/>
                <w:b/>
                <w:sz w:val="23"/>
                <w:szCs w:val="23"/>
                <w:lang w:eastAsia="en-US"/>
              </w:rPr>
            </w:pPr>
            <w:r w:rsidRPr="00664249">
              <w:rPr>
                <w:rFonts w:ascii="Arial" w:eastAsia="Calibri" w:hAnsi="Arial" w:cs="Arial"/>
                <w:b/>
                <w:sz w:val="23"/>
                <w:szCs w:val="23"/>
                <w:lang w:eastAsia="en-US"/>
              </w:rPr>
              <w:t>Mtro. Christian Flores Garza</w:t>
            </w:r>
          </w:p>
          <w:p w14:paraId="2820DFFA" w14:textId="77777777" w:rsidR="008B7CBE" w:rsidRPr="00664249" w:rsidRDefault="008B7CBE" w:rsidP="00D90C9F">
            <w:pPr>
              <w:pStyle w:val="Sinespaciado"/>
              <w:jc w:val="center"/>
              <w:rPr>
                <w:rFonts w:ascii="Arial" w:eastAsia="Calibri" w:hAnsi="Arial" w:cs="Arial"/>
                <w:b/>
                <w:sz w:val="23"/>
                <w:szCs w:val="23"/>
                <w:lang w:eastAsia="en-US"/>
              </w:rPr>
            </w:pPr>
            <w:r w:rsidRPr="00664249">
              <w:rPr>
                <w:rFonts w:ascii="Arial" w:eastAsia="Calibri" w:hAnsi="Arial" w:cs="Arial"/>
                <w:b/>
                <w:sz w:val="23"/>
                <w:szCs w:val="23"/>
                <w:lang w:eastAsia="en-US"/>
              </w:rPr>
              <w:t>El secretario ejecutivo</w:t>
            </w:r>
          </w:p>
        </w:tc>
      </w:tr>
    </w:tbl>
    <w:p w14:paraId="7ED87CFE" w14:textId="524015A8" w:rsidR="00262897" w:rsidRPr="00296136" w:rsidRDefault="00262897" w:rsidP="00D90C9F">
      <w:pPr>
        <w:pStyle w:val="Sinespaciado"/>
      </w:pPr>
    </w:p>
    <w:tbl>
      <w:tblPr>
        <w:tblStyle w:val="Cuadrculadetablaclara"/>
        <w:tblW w:w="1806" w:type="dxa"/>
        <w:tblLook w:val="04A0" w:firstRow="1" w:lastRow="0" w:firstColumn="1" w:lastColumn="0" w:noHBand="0" w:noVBand="1"/>
      </w:tblPr>
      <w:tblGrid>
        <w:gridCol w:w="817"/>
        <w:gridCol w:w="989"/>
      </w:tblGrid>
      <w:tr w:rsidR="00627C15" w:rsidRPr="00FA04CB" w14:paraId="25686579" w14:textId="77777777" w:rsidTr="00D90C9F">
        <w:trPr>
          <w:trHeight w:val="118"/>
        </w:trPr>
        <w:tc>
          <w:tcPr>
            <w:tcW w:w="817" w:type="dxa"/>
            <w:hideMark/>
          </w:tcPr>
          <w:p w14:paraId="7576E581" w14:textId="77777777" w:rsidR="00627C15" w:rsidRPr="00FA04CB" w:rsidRDefault="00627C15" w:rsidP="00296136">
            <w:pPr>
              <w:spacing w:line="276" w:lineRule="auto"/>
              <w:jc w:val="center"/>
              <w:rPr>
                <w:rFonts w:cs="Arial"/>
                <w:sz w:val="12"/>
                <w:szCs w:val="12"/>
              </w:rPr>
            </w:pPr>
            <w:r w:rsidRPr="00FA04CB">
              <w:rPr>
                <w:rFonts w:cs="Arial"/>
                <w:sz w:val="12"/>
                <w:szCs w:val="12"/>
              </w:rPr>
              <w:t>CMT</w:t>
            </w:r>
          </w:p>
          <w:p w14:paraId="6D4F8D55" w14:textId="77777777" w:rsidR="00627C15" w:rsidRPr="00FA04CB" w:rsidRDefault="00627C15" w:rsidP="00296136">
            <w:pPr>
              <w:spacing w:line="276" w:lineRule="auto"/>
              <w:jc w:val="center"/>
              <w:rPr>
                <w:rFonts w:cs="Arial"/>
                <w:sz w:val="12"/>
                <w:szCs w:val="12"/>
              </w:rPr>
            </w:pPr>
            <w:proofErr w:type="spellStart"/>
            <w:r w:rsidRPr="00FA04CB">
              <w:rPr>
                <w:rFonts w:cs="Arial"/>
                <w:sz w:val="12"/>
                <w:szCs w:val="12"/>
              </w:rPr>
              <w:t>VoBo</w:t>
            </w:r>
            <w:proofErr w:type="spellEnd"/>
          </w:p>
        </w:tc>
        <w:tc>
          <w:tcPr>
            <w:tcW w:w="989" w:type="dxa"/>
            <w:hideMark/>
          </w:tcPr>
          <w:p w14:paraId="1FEDDF4E" w14:textId="77777777" w:rsidR="00627C15" w:rsidRPr="00FA04CB" w:rsidRDefault="00627C15" w:rsidP="00296136">
            <w:pPr>
              <w:spacing w:line="276" w:lineRule="auto"/>
              <w:jc w:val="center"/>
              <w:rPr>
                <w:rFonts w:cs="Arial"/>
                <w:sz w:val="12"/>
                <w:szCs w:val="12"/>
              </w:rPr>
            </w:pPr>
            <w:r w:rsidRPr="00FA04CB">
              <w:rPr>
                <w:rFonts w:cs="Arial"/>
                <w:sz w:val="12"/>
                <w:szCs w:val="12"/>
              </w:rPr>
              <w:t>MGGM</w:t>
            </w:r>
          </w:p>
          <w:p w14:paraId="039C7CB2" w14:textId="77777777" w:rsidR="00627C15" w:rsidRPr="00FA04CB" w:rsidRDefault="00627C15" w:rsidP="00296136">
            <w:pPr>
              <w:spacing w:line="276" w:lineRule="auto"/>
              <w:jc w:val="center"/>
              <w:rPr>
                <w:rFonts w:cs="Arial"/>
                <w:sz w:val="12"/>
                <w:szCs w:val="12"/>
              </w:rPr>
            </w:pPr>
            <w:r w:rsidRPr="00FA04CB">
              <w:rPr>
                <w:rFonts w:cs="Arial"/>
                <w:sz w:val="12"/>
                <w:szCs w:val="12"/>
              </w:rPr>
              <w:t>Elaboró</w:t>
            </w:r>
          </w:p>
        </w:tc>
      </w:tr>
    </w:tbl>
    <w:p w14:paraId="41069896" w14:textId="77777777" w:rsidR="00FA04CB" w:rsidRDefault="00FA04CB" w:rsidP="00FA04CB">
      <w:pPr>
        <w:spacing w:line="276" w:lineRule="auto"/>
        <w:jc w:val="both"/>
        <w:rPr>
          <w:rFonts w:eastAsia="Trebuchet MS" w:cs="Arial"/>
          <w:sz w:val="16"/>
          <w:szCs w:val="16"/>
          <w:lang w:eastAsia="en-US"/>
        </w:rPr>
      </w:pPr>
    </w:p>
    <w:p w14:paraId="5EED81A0" w14:textId="77777777" w:rsidR="00664249" w:rsidRDefault="00664249" w:rsidP="00FA04CB">
      <w:pPr>
        <w:spacing w:line="276" w:lineRule="auto"/>
        <w:jc w:val="both"/>
        <w:rPr>
          <w:rFonts w:eastAsia="Trebuchet MS" w:cs="Arial"/>
          <w:sz w:val="16"/>
          <w:szCs w:val="16"/>
          <w:lang w:eastAsia="en-US"/>
        </w:rPr>
      </w:pPr>
    </w:p>
    <w:p w14:paraId="5892B229" w14:textId="77777777" w:rsidR="00664249" w:rsidRDefault="00664249" w:rsidP="00FA04CB">
      <w:pPr>
        <w:spacing w:line="276" w:lineRule="auto"/>
        <w:jc w:val="both"/>
        <w:rPr>
          <w:rFonts w:eastAsia="Trebuchet MS" w:cs="Arial"/>
          <w:sz w:val="16"/>
          <w:szCs w:val="16"/>
          <w:lang w:eastAsia="en-US"/>
        </w:rPr>
      </w:pPr>
    </w:p>
    <w:p w14:paraId="5A5CB329" w14:textId="27689044" w:rsidR="00FA04CB" w:rsidRPr="00B43974" w:rsidRDefault="00FA04CB" w:rsidP="00FA04CB">
      <w:pPr>
        <w:spacing w:line="276" w:lineRule="auto"/>
        <w:jc w:val="both"/>
        <w:rPr>
          <w:rFonts w:eastAsia="Trebuchet MS" w:cs="Arial"/>
          <w:sz w:val="16"/>
          <w:szCs w:val="16"/>
          <w:lang w:eastAsia="en-US"/>
        </w:rPr>
      </w:pPr>
      <w:r w:rsidRPr="00B43974">
        <w:rPr>
          <w:rFonts w:eastAsia="Trebuchet MS" w:cs="Arial"/>
          <w:sz w:val="16"/>
          <w:szCs w:val="16"/>
          <w:lang w:eastAsia="en-U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sidRPr="0005799A">
        <w:rPr>
          <w:rFonts w:eastAsia="Trebuchet MS" w:cs="Arial"/>
          <w:b/>
          <w:sz w:val="16"/>
          <w:szCs w:val="16"/>
          <w:lang w:eastAsia="en-US"/>
        </w:rPr>
        <w:t>sexta sesión ordinaria</w:t>
      </w:r>
      <w:r w:rsidRPr="00B43974">
        <w:rPr>
          <w:rFonts w:eastAsia="Trebuchet MS" w:cs="Arial"/>
          <w:sz w:val="16"/>
          <w:szCs w:val="16"/>
          <w:lang w:eastAsia="en-US"/>
        </w:rPr>
        <w:t xml:space="preserve"> del Consejo General celebrada el </w:t>
      </w:r>
      <w:r w:rsidRPr="0005799A">
        <w:rPr>
          <w:rFonts w:eastAsia="Trebuchet MS" w:cs="Arial"/>
          <w:b/>
          <w:sz w:val="16"/>
          <w:szCs w:val="16"/>
          <w:lang w:eastAsia="en-US"/>
        </w:rPr>
        <w:t>quince de diciembre de dos mil veintidós</w:t>
      </w:r>
      <w:r w:rsidRPr="00B43974">
        <w:rPr>
          <w:rFonts w:eastAsia="Trebuchet MS" w:cs="Arial"/>
          <w:sz w:val="16"/>
          <w:szCs w:val="16"/>
          <w:lang w:eastAsia="en-US"/>
        </w:rPr>
        <w:t xml:space="preserve">, por votación unánime de las y los consejeros electorales </w:t>
      </w:r>
      <w:proofErr w:type="spellStart"/>
      <w:r w:rsidRPr="00B43974">
        <w:rPr>
          <w:rFonts w:eastAsia="Trebuchet MS" w:cs="Arial"/>
          <w:sz w:val="16"/>
          <w:szCs w:val="16"/>
          <w:lang w:eastAsia="en-US"/>
        </w:rPr>
        <w:t>Zoad</w:t>
      </w:r>
      <w:proofErr w:type="spellEnd"/>
      <w:r w:rsidRPr="00B43974">
        <w:rPr>
          <w:rFonts w:eastAsia="Trebuchet MS" w:cs="Arial"/>
          <w:sz w:val="16"/>
          <w:szCs w:val="16"/>
          <w:lang w:eastAsia="en-US"/>
        </w:rPr>
        <w:t xml:space="preserve"> </w:t>
      </w:r>
      <w:proofErr w:type="spellStart"/>
      <w:r w:rsidRPr="00B43974">
        <w:rPr>
          <w:rFonts w:eastAsia="Trebuchet MS" w:cs="Arial"/>
          <w:sz w:val="16"/>
          <w:szCs w:val="16"/>
          <w:lang w:eastAsia="en-US"/>
        </w:rPr>
        <w:t>Jeanine</w:t>
      </w:r>
      <w:proofErr w:type="spellEnd"/>
      <w:r w:rsidRPr="00B43974">
        <w:rPr>
          <w:rFonts w:eastAsia="Trebuchet MS" w:cs="Arial"/>
          <w:sz w:val="16"/>
          <w:szCs w:val="16"/>
          <w:lang w:eastAsia="en-US"/>
        </w:rPr>
        <w:t xml:space="preserve"> García González, Miguel Godínez </w:t>
      </w:r>
      <w:proofErr w:type="spellStart"/>
      <w:r w:rsidRPr="00B43974">
        <w:rPr>
          <w:rFonts w:eastAsia="Trebuchet MS" w:cs="Arial"/>
          <w:sz w:val="16"/>
          <w:szCs w:val="16"/>
          <w:lang w:eastAsia="en-US"/>
        </w:rPr>
        <w:t>Terríquez</w:t>
      </w:r>
      <w:proofErr w:type="spellEnd"/>
      <w:r w:rsidRPr="00B43974">
        <w:rPr>
          <w:rFonts w:eastAsia="Trebuchet MS" w:cs="Arial"/>
          <w:sz w:val="16"/>
          <w:szCs w:val="16"/>
          <w:lang w:eastAsia="en-US"/>
        </w:rPr>
        <w:t xml:space="preserve">, Moisés Pérez Vega, Brenda Judith Serafín </w:t>
      </w:r>
      <w:proofErr w:type="spellStart"/>
      <w:r w:rsidRPr="00B43974">
        <w:rPr>
          <w:rFonts w:eastAsia="Trebuchet MS" w:cs="Arial"/>
          <w:sz w:val="16"/>
          <w:szCs w:val="16"/>
          <w:lang w:eastAsia="en-US"/>
        </w:rPr>
        <w:t>Morfín</w:t>
      </w:r>
      <w:proofErr w:type="spellEnd"/>
      <w:r w:rsidRPr="00B43974">
        <w:rPr>
          <w:rFonts w:eastAsia="Trebuchet MS" w:cs="Arial"/>
          <w:sz w:val="16"/>
          <w:szCs w:val="16"/>
          <w:lang w:eastAsia="en-US"/>
        </w:rPr>
        <w:t xml:space="preserve">, Claudia Alejandra Vargas Bautista y la consejera presidenta Paula Ramírez </w:t>
      </w:r>
      <w:proofErr w:type="spellStart"/>
      <w:r w:rsidRPr="00B43974">
        <w:rPr>
          <w:rFonts w:eastAsia="Trebuchet MS" w:cs="Arial"/>
          <w:sz w:val="16"/>
          <w:szCs w:val="16"/>
          <w:lang w:eastAsia="en-US"/>
        </w:rPr>
        <w:t>Höhne</w:t>
      </w:r>
      <w:proofErr w:type="spellEnd"/>
      <w:r w:rsidRPr="00B43974">
        <w:rPr>
          <w:rFonts w:eastAsia="Trebuchet MS" w:cs="Arial"/>
          <w:sz w:val="16"/>
          <w:szCs w:val="16"/>
          <w:lang w:eastAsia="en-US"/>
        </w:rPr>
        <w:t xml:space="preserve">. Doy fe. </w:t>
      </w:r>
    </w:p>
    <w:p w14:paraId="31520240" w14:textId="77777777" w:rsidR="00FA04CB" w:rsidRDefault="00FA04CB" w:rsidP="00FA04CB">
      <w:pPr>
        <w:spacing w:line="276" w:lineRule="auto"/>
        <w:jc w:val="both"/>
        <w:rPr>
          <w:rFonts w:eastAsia="Trebuchet MS" w:cs="Arial"/>
          <w:sz w:val="16"/>
          <w:szCs w:val="16"/>
          <w:lang w:eastAsia="en-US"/>
        </w:rPr>
      </w:pPr>
    </w:p>
    <w:p w14:paraId="322D2505" w14:textId="77777777" w:rsidR="00FA04CB" w:rsidRPr="00B43974" w:rsidRDefault="00FA04CB" w:rsidP="00FA04CB">
      <w:pPr>
        <w:spacing w:line="276" w:lineRule="auto"/>
        <w:jc w:val="both"/>
        <w:rPr>
          <w:rFonts w:eastAsia="Trebuchet MS" w:cs="Arial"/>
          <w:sz w:val="16"/>
          <w:szCs w:val="16"/>
          <w:lang w:eastAsia="en-US"/>
        </w:rPr>
      </w:pPr>
    </w:p>
    <w:p w14:paraId="08F20D82" w14:textId="77777777" w:rsidR="00FA04CB" w:rsidRDefault="00FA04CB" w:rsidP="00FA04CB">
      <w:pPr>
        <w:spacing w:line="276" w:lineRule="auto"/>
        <w:jc w:val="both"/>
        <w:rPr>
          <w:rFonts w:eastAsia="Trebuchet MS" w:cs="Arial"/>
          <w:sz w:val="16"/>
          <w:szCs w:val="16"/>
          <w:lang w:eastAsia="en-US"/>
        </w:rPr>
      </w:pPr>
    </w:p>
    <w:p w14:paraId="244B0C13" w14:textId="77777777" w:rsidR="0005799A" w:rsidRPr="00B43974" w:rsidRDefault="0005799A" w:rsidP="00FA04CB">
      <w:pPr>
        <w:spacing w:line="276" w:lineRule="auto"/>
        <w:jc w:val="both"/>
        <w:rPr>
          <w:rFonts w:eastAsia="Trebuchet MS" w:cs="Arial"/>
          <w:sz w:val="16"/>
          <w:szCs w:val="16"/>
          <w:lang w:eastAsia="en-US"/>
        </w:rPr>
      </w:pPr>
    </w:p>
    <w:p w14:paraId="48FCDBCA" w14:textId="77777777" w:rsidR="00FA04CB" w:rsidRPr="00B43974" w:rsidRDefault="00FA04CB" w:rsidP="00FA04CB">
      <w:pPr>
        <w:spacing w:line="276" w:lineRule="auto"/>
        <w:jc w:val="center"/>
        <w:rPr>
          <w:rFonts w:eastAsia="Trebuchet MS" w:cs="Arial"/>
          <w:sz w:val="16"/>
          <w:szCs w:val="16"/>
          <w:lang w:eastAsia="en-US"/>
        </w:rPr>
      </w:pPr>
      <w:r w:rsidRPr="00B43974">
        <w:rPr>
          <w:rFonts w:eastAsia="Trebuchet MS" w:cs="Arial"/>
          <w:sz w:val="16"/>
          <w:szCs w:val="16"/>
          <w:lang w:eastAsia="en-US"/>
        </w:rPr>
        <w:t>Mtro. Christian Flores Garza</w:t>
      </w:r>
    </w:p>
    <w:p w14:paraId="2788AAA1" w14:textId="77777777" w:rsidR="00FA04CB" w:rsidRPr="00560F6D" w:rsidRDefault="00FA04CB" w:rsidP="00FA04CB">
      <w:pPr>
        <w:spacing w:line="276" w:lineRule="auto"/>
        <w:jc w:val="center"/>
        <w:rPr>
          <w:rFonts w:cs="Arial"/>
        </w:rPr>
      </w:pPr>
      <w:r w:rsidRPr="00B43974">
        <w:rPr>
          <w:rFonts w:eastAsia="Trebuchet MS" w:cs="Arial"/>
          <w:sz w:val="16"/>
          <w:szCs w:val="16"/>
          <w:lang w:eastAsia="en-US"/>
        </w:rPr>
        <w:t>El secretario ejecutivo</w:t>
      </w:r>
    </w:p>
    <w:p w14:paraId="122085B7" w14:textId="77777777" w:rsidR="00627C15" w:rsidRPr="00296136" w:rsidRDefault="00627C15" w:rsidP="00D90C9F">
      <w:pPr>
        <w:spacing w:before="120" w:after="120" w:line="276" w:lineRule="auto"/>
        <w:jc w:val="both"/>
        <w:rPr>
          <w:rFonts w:cs="Arial"/>
          <w:kern w:val="0"/>
          <w:sz w:val="24"/>
          <w:szCs w:val="24"/>
          <w:lang w:eastAsia="es-MX"/>
        </w:rPr>
      </w:pPr>
    </w:p>
    <w:sectPr w:rsidR="00627C15" w:rsidRPr="00296136" w:rsidSect="00D90C9F">
      <w:headerReference w:type="default" r:id="rId8"/>
      <w:footerReference w:type="even" r:id="rId9"/>
      <w:footerReference w:type="default" r:id="rId10"/>
      <w:pgSz w:w="12242" w:h="15842" w:code="1"/>
      <w:pgMar w:top="2835" w:right="1701" w:bottom="1701" w:left="1701" w:header="1134"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7BAB6" w14:textId="77777777" w:rsidR="00766F0C" w:rsidRDefault="00766F0C">
      <w:r>
        <w:separator/>
      </w:r>
    </w:p>
  </w:endnote>
  <w:endnote w:type="continuationSeparator" w:id="0">
    <w:p w14:paraId="25BB84C1" w14:textId="77777777" w:rsidR="00766F0C" w:rsidRDefault="0076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9A47E" w14:textId="77777777" w:rsidR="007C5E03" w:rsidRDefault="00002F14">
    <w:pPr>
      <w:pStyle w:val="Piedepgina"/>
      <w:framePr w:wrap="around" w:vAnchor="text" w:hAnchor="margin" w:xAlign="right" w:y="1"/>
      <w:rPr>
        <w:rStyle w:val="Nmerodepgina"/>
      </w:rPr>
    </w:pPr>
    <w:r>
      <w:rPr>
        <w:rStyle w:val="Nmerodepgina"/>
      </w:rPr>
      <w:fldChar w:fldCharType="begin"/>
    </w:r>
    <w:r w:rsidR="00245E19">
      <w:rPr>
        <w:rStyle w:val="Nmerodepgina"/>
      </w:rPr>
      <w:instrText xml:space="preserve">PAGE  </w:instrText>
    </w:r>
    <w:r>
      <w:rPr>
        <w:rStyle w:val="Nmerodepgina"/>
      </w:rPr>
      <w:fldChar w:fldCharType="end"/>
    </w:r>
  </w:p>
  <w:p w14:paraId="6528578E" w14:textId="77777777" w:rsidR="007C5E03" w:rsidRDefault="00B57D4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D08E" w14:textId="77777777" w:rsidR="007C5E03" w:rsidRDefault="00B57D44">
    <w:pPr>
      <w:pStyle w:val="Piedepgina"/>
      <w:ind w:right="360"/>
    </w:pPr>
  </w:p>
  <w:p w14:paraId="2629A729" w14:textId="77777777" w:rsidR="007C5E03" w:rsidRDefault="00B57D44">
    <w:pPr>
      <w:pStyle w:val="Piedepgina"/>
      <w:ind w:right="360"/>
    </w:pPr>
  </w:p>
  <w:p w14:paraId="27A36D58" w14:textId="77777777" w:rsidR="00296136" w:rsidRPr="00296136" w:rsidRDefault="00296136" w:rsidP="00296136">
    <w:pPr>
      <w:tabs>
        <w:tab w:val="center" w:pos="4419"/>
        <w:tab w:val="right" w:pos="8838"/>
      </w:tabs>
      <w:suppressAutoHyphens/>
      <w:jc w:val="center"/>
      <w:rPr>
        <w:rFonts w:cs="Arial"/>
        <w:b/>
        <w:color w:val="7030A0"/>
        <w:kern w:val="0"/>
        <w:sz w:val="16"/>
        <w:szCs w:val="16"/>
        <w:lang w:eastAsia="ar-SA"/>
      </w:rPr>
    </w:pPr>
    <w:r w:rsidRPr="00296136">
      <w:rPr>
        <w:rFonts w:cs="Arial"/>
        <w:bCs/>
        <w:color w:val="A6A6A6"/>
        <w:kern w:val="0"/>
        <w:sz w:val="16"/>
        <w:szCs w:val="16"/>
        <w:lang w:val="es-ES" w:eastAsia="ar-SA"/>
      </w:rPr>
      <w:t>Parque de las Estrellas 2764, colonia Jardines del Bosque Centro, Guadalajara, Jalisco, México. C.P.44520</w:t>
    </w:r>
    <w:r w:rsidR="00B57D44">
      <w:rPr>
        <w:rFonts w:cs="Arial"/>
        <w:bCs/>
        <w:color w:val="A6A6A6"/>
        <w:kern w:val="0"/>
        <w:sz w:val="16"/>
        <w:szCs w:val="16"/>
        <w:lang w:val="es-ES" w:eastAsia="ar-SA"/>
      </w:rPr>
      <w:pict w14:anchorId="52B93E9A">
        <v:rect id="_x0000_i1025" style="width:408.3pt;height:1pt" o:hrpct="924" o:hralign="center" o:hrstd="t" o:hrnoshade="t" o:hr="t" fillcolor="#b2a1c7" stroked="f"/>
      </w:pict>
    </w:r>
    <w:r w:rsidRPr="00296136">
      <w:rPr>
        <w:rFonts w:cs="Arial"/>
        <w:b/>
        <w:bCs/>
        <w:color w:val="7030A0"/>
        <w:kern w:val="0"/>
        <w:sz w:val="16"/>
        <w:szCs w:val="16"/>
        <w:lang w:eastAsia="ar-SA"/>
      </w:rPr>
      <w:t>www.iepcjalisco.org.mx</w:t>
    </w:r>
  </w:p>
  <w:p w14:paraId="1232A970" w14:textId="65F54817" w:rsidR="007C5E03" w:rsidRDefault="00296136" w:rsidP="00296136">
    <w:pPr>
      <w:tabs>
        <w:tab w:val="center" w:pos="4252"/>
        <w:tab w:val="right" w:pos="8504"/>
      </w:tabs>
      <w:suppressAutoHyphens/>
      <w:jc w:val="right"/>
    </w:pPr>
    <w:r w:rsidRPr="00296136">
      <w:rPr>
        <w:rFonts w:eastAsia="Calibri" w:cs="Arial"/>
        <w:kern w:val="0"/>
        <w:sz w:val="16"/>
        <w:szCs w:val="16"/>
        <w:lang w:eastAsia="en-US"/>
      </w:rPr>
      <w:t xml:space="preserve">Página </w:t>
    </w:r>
    <w:r w:rsidRPr="00296136">
      <w:rPr>
        <w:rFonts w:eastAsia="Calibri" w:cs="Arial"/>
        <w:kern w:val="0"/>
        <w:sz w:val="16"/>
        <w:szCs w:val="16"/>
        <w:lang w:eastAsia="en-US"/>
      </w:rPr>
      <w:fldChar w:fldCharType="begin"/>
    </w:r>
    <w:r w:rsidRPr="00296136">
      <w:rPr>
        <w:rFonts w:eastAsia="Calibri" w:cs="Arial"/>
        <w:kern w:val="0"/>
        <w:sz w:val="16"/>
        <w:szCs w:val="16"/>
        <w:lang w:eastAsia="en-US"/>
      </w:rPr>
      <w:instrText xml:space="preserve"> PAGE </w:instrText>
    </w:r>
    <w:r w:rsidRPr="00296136">
      <w:rPr>
        <w:rFonts w:eastAsia="Calibri" w:cs="Arial"/>
        <w:kern w:val="0"/>
        <w:sz w:val="16"/>
        <w:szCs w:val="16"/>
        <w:lang w:eastAsia="en-US"/>
      </w:rPr>
      <w:fldChar w:fldCharType="separate"/>
    </w:r>
    <w:r w:rsidR="00B57D44">
      <w:rPr>
        <w:rFonts w:eastAsia="Calibri" w:cs="Arial"/>
        <w:noProof/>
        <w:kern w:val="0"/>
        <w:sz w:val="16"/>
        <w:szCs w:val="16"/>
        <w:lang w:eastAsia="en-US"/>
      </w:rPr>
      <w:t>1</w:t>
    </w:r>
    <w:r w:rsidRPr="00296136">
      <w:rPr>
        <w:rFonts w:eastAsia="Calibri" w:cs="Arial"/>
        <w:kern w:val="0"/>
        <w:sz w:val="16"/>
        <w:szCs w:val="16"/>
        <w:lang w:eastAsia="en-US"/>
      </w:rPr>
      <w:fldChar w:fldCharType="end"/>
    </w:r>
    <w:r w:rsidRPr="00296136">
      <w:rPr>
        <w:rFonts w:eastAsia="Calibri" w:cs="Arial"/>
        <w:kern w:val="0"/>
        <w:sz w:val="16"/>
        <w:szCs w:val="16"/>
        <w:lang w:eastAsia="en-US"/>
      </w:rPr>
      <w:t xml:space="preserve"> de </w:t>
    </w:r>
    <w:r w:rsidRPr="00296136">
      <w:rPr>
        <w:rFonts w:eastAsia="Calibri" w:cs="Arial"/>
        <w:kern w:val="0"/>
        <w:sz w:val="16"/>
        <w:szCs w:val="16"/>
        <w:lang w:eastAsia="en-US"/>
      </w:rPr>
      <w:fldChar w:fldCharType="begin"/>
    </w:r>
    <w:r w:rsidRPr="00296136">
      <w:rPr>
        <w:rFonts w:eastAsia="Calibri" w:cs="Arial"/>
        <w:kern w:val="0"/>
        <w:sz w:val="16"/>
        <w:szCs w:val="16"/>
        <w:lang w:eastAsia="en-US"/>
      </w:rPr>
      <w:instrText xml:space="preserve"> NUMPAGES </w:instrText>
    </w:r>
    <w:r w:rsidRPr="00296136">
      <w:rPr>
        <w:rFonts w:eastAsia="Calibri" w:cs="Arial"/>
        <w:kern w:val="0"/>
        <w:sz w:val="16"/>
        <w:szCs w:val="16"/>
        <w:lang w:eastAsia="en-US"/>
      </w:rPr>
      <w:fldChar w:fldCharType="separate"/>
    </w:r>
    <w:r w:rsidR="00B57D44">
      <w:rPr>
        <w:rFonts w:eastAsia="Calibri" w:cs="Arial"/>
        <w:noProof/>
        <w:kern w:val="0"/>
        <w:sz w:val="16"/>
        <w:szCs w:val="16"/>
        <w:lang w:eastAsia="en-US"/>
      </w:rPr>
      <w:t>8</w:t>
    </w:r>
    <w:r w:rsidRPr="00296136">
      <w:rPr>
        <w:rFonts w:eastAsia="Calibri" w:cs="Arial"/>
        <w:kern w:val="0"/>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2F6B0" w14:textId="77777777" w:rsidR="00766F0C" w:rsidRDefault="00766F0C">
      <w:r>
        <w:separator/>
      </w:r>
    </w:p>
  </w:footnote>
  <w:footnote w:type="continuationSeparator" w:id="0">
    <w:p w14:paraId="47F7749E" w14:textId="77777777" w:rsidR="00766F0C" w:rsidRDefault="00766F0C">
      <w:r>
        <w:continuationSeparator/>
      </w:r>
    </w:p>
  </w:footnote>
  <w:footnote w:id="1">
    <w:p w14:paraId="22FF774B" w14:textId="0BFEEBE3" w:rsidR="006D1209" w:rsidRPr="002E20D4" w:rsidRDefault="006D1209" w:rsidP="006D1209">
      <w:pPr>
        <w:pStyle w:val="Textonotapie"/>
        <w:jc w:val="both"/>
        <w:rPr>
          <w:rFonts w:ascii="Trebuchet MS" w:hAnsi="Trebuchet MS"/>
          <w:sz w:val="16"/>
          <w:szCs w:val="16"/>
          <w:lang w:val="es-ES"/>
        </w:rPr>
      </w:pPr>
      <w:r w:rsidRPr="00D90C9F">
        <w:rPr>
          <w:rStyle w:val="Refdenotaalpie"/>
          <w:rFonts w:cs="Arial"/>
          <w:sz w:val="16"/>
          <w:szCs w:val="16"/>
        </w:rPr>
        <w:footnoteRef/>
      </w:r>
      <w:r w:rsidRPr="00D90C9F">
        <w:rPr>
          <w:rFonts w:cs="Arial"/>
          <w:sz w:val="16"/>
          <w:szCs w:val="16"/>
        </w:rPr>
        <w:t xml:space="preserve"> APORTACIONES DE SIMPATIZANTES A PARTIDOS POLÍTICOS. ES INCONSTITUCIONAL LIMITARLAS A LOS PROCESOS ELECTORALES.- De la interpretación de los artículos 41, párrafo segundo, Base I y II, de la Constitución Política de los Estados Unidos Mexicanos y 23, inciso a), de la Convención Americana sobre Derechos Humanos, se concluye que la</w:t>
      </w:r>
      <w:r w:rsidRPr="002E20D4">
        <w:rPr>
          <w:rFonts w:ascii="Trebuchet MS" w:hAnsi="Trebuchet MS"/>
          <w:sz w:val="16"/>
          <w:szCs w:val="16"/>
        </w:rPr>
        <w:t xml:space="preserve"> </w:t>
      </w:r>
      <w:r w:rsidRPr="00D90C9F">
        <w:rPr>
          <w:rFonts w:cs="Arial"/>
          <w:sz w:val="16"/>
          <w:szCs w:val="16"/>
        </w:rPr>
        <w:t>restricción establecida en el artículo 56, numeral I, inciso c), de la Ley General de Partidos Políticos, que limita las aportaciones de simpatizantes a los partidos políticos durante el proceso electoral, restringe injustificadamente el derecho humano de participación política reconocido por el bloque de constitucionalidad, razón por la cual es inconstitucional. Para arribar a la anterior conclusión se tiene en cuenta que el derecho a la participación política no se agota con el ejercicio del voto, pues también implica, para los ciudadanos, la oportunidad de incidir de distintas maneras en la dirección de los asuntos públicos a través de los partidos políticos. Una de estas maneras es mediante las aportaciones que realizan los simpatizantes a los partidos políticos, en razón de su identificación ideológica con ellos. En este sentido, si las finalidades reconocidas constitucionalmente a los partidos políticos no se limitan al proceso electoral, pues también comprenden actividades permanentes relacionadas con el fomento de la vida democrática e incentivar la participación de la ciudadanía, la restricción temporal referida limita injustificadamente un medio de acceso de los simpatizantes a la participación política y al derecho de asociación en sentido amplio.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B57D44" w14:paraId="19F9CABC" w14:textId="77777777" w:rsidTr="00B57D44">
      <w:tc>
        <w:tcPr>
          <w:tcW w:w="4415" w:type="dxa"/>
        </w:tcPr>
        <w:p w14:paraId="02ECA1A3" w14:textId="5D48972F" w:rsidR="00B57D44" w:rsidRDefault="00B57D44" w:rsidP="001E325A">
          <w:pPr>
            <w:pStyle w:val="Encabezado"/>
            <w:rPr>
              <w:rFonts w:ascii="Trebuchet MS" w:hAnsi="Trebuchet MS"/>
              <w:b/>
              <w:sz w:val="24"/>
              <w:szCs w:val="24"/>
            </w:rPr>
          </w:pPr>
          <w:r w:rsidRPr="00B57D44">
            <w:rPr>
              <w:rFonts w:ascii="Trebuchet MS" w:hAnsi="Trebuchet MS"/>
              <w:noProof/>
              <w:kern w:val="0"/>
              <w:sz w:val="24"/>
              <w:szCs w:val="24"/>
              <w:lang w:eastAsia="es-MX"/>
            </w:rPr>
            <w:drawing>
              <wp:inline distT="0" distB="0" distL="0" distR="0" wp14:anchorId="44DCC9A7" wp14:editId="6530F4DE">
                <wp:extent cx="1390015" cy="782955"/>
                <wp:effectExtent l="19050" t="0" r="635" b="0"/>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015" cy="782955"/>
                        </a:xfrm>
                        <a:prstGeom prst="rect">
                          <a:avLst/>
                        </a:prstGeom>
                        <a:noFill/>
                        <a:ln w="9525">
                          <a:noFill/>
                          <a:miter lim="800000"/>
                          <a:headEnd/>
                          <a:tailEnd/>
                        </a:ln>
                      </pic:spPr>
                    </pic:pic>
                  </a:graphicData>
                </a:graphic>
              </wp:inline>
            </w:drawing>
          </w:r>
        </w:p>
      </w:tc>
      <w:tc>
        <w:tcPr>
          <w:tcW w:w="4415" w:type="dxa"/>
        </w:tcPr>
        <w:p w14:paraId="222EC364" w14:textId="77777777" w:rsidR="00B57D44" w:rsidRDefault="00B57D44" w:rsidP="00B57D44">
          <w:pPr>
            <w:pStyle w:val="Encabezado"/>
            <w:jc w:val="right"/>
            <w:rPr>
              <w:rFonts w:cs="Arial"/>
              <w:b/>
              <w:sz w:val="24"/>
              <w:szCs w:val="24"/>
            </w:rPr>
          </w:pPr>
        </w:p>
        <w:p w14:paraId="770A8587" w14:textId="77777777" w:rsidR="00B57D44" w:rsidRDefault="00B57D44" w:rsidP="00B57D44">
          <w:pPr>
            <w:pStyle w:val="Encabezado"/>
            <w:jc w:val="right"/>
            <w:rPr>
              <w:rFonts w:cs="Arial"/>
              <w:b/>
              <w:sz w:val="24"/>
              <w:szCs w:val="24"/>
            </w:rPr>
          </w:pPr>
        </w:p>
        <w:p w14:paraId="4B01AA94" w14:textId="1EE3460C" w:rsidR="00B57D44" w:rsidRDefault="00B57D44" w:rsidP="00B57D44">
          <w:pPr>
            <w:pStyle w:val="Encabezado"/>
            <w:jc w:val="right"/>
            <w:rPr>
              <w:rFonts w:ascii="Trebuchet MS" w:hAnsi="Trebuchet MS"/>
              <w:b/>
              <w:sz w:val="24"/>
              <w:szCs w:val="24"/>
            </w:rPr>
          </w:pPr>
          <w:r w:rsidRPr="00FA04CB">
            <w:rPr>
              <w:rFonts w:cs="Arial"/>
              <w:b/>
              <w:sz w:val="24"/>
              <w:szCs w:val="24"/>
            </w:rPr>
            <w:t xml:space="preserve">IEPC-ACG-063/2022                                                                                           </w:t>
          </w:r>
        </w:p>
      </w:tc>
    </w:tr>
  </w:tbl>
  <w:p w14:paraId="085C5296" w14:textId="12729CA4" w:rsidR="00841FD6" w:rsidRPr="00FA04CB" w:rsidRDefault="00FA04CB" w:rsidP="001E325A">
    <w:pPr>
      <w:pStyle w:val="Encabezado"/>
      <w:rPr>
        <w:rFonts w:cs="Arial"/>
        <w:b/>
        <w:sz w:val="24"/>
        <w:szCs w:val="24"/>
      </w:rPr>
    </w:pPr>
    <w:r>
      <w:rPr>
        <w:rFonts w:ascii="Trebuchet MS" w:hAnsi="Trebuchet MS"/>
        <w:b/>
        <w:sz w:val="24"/>
        <w:szCs w:val="24"/>
      </w:rPr>
      <w:tab/>
    </w:r>
    <w:r w:rsidR="002E20D4" w:rsidRPr="00FA04CB">
      <w:rPr>
        <w:rFonts w:cs="Arial"/>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8D927AA"/>
    <w:multiLevelType w:val="hybridMultilevel"/>
    <w:tmpl w:val="6D4C82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14B93AD3"/>
    <w:multiLevelType w:val="hybridMultilevel"/>
    <w:tmpl w:val="3A506034"/>
    <w:lvl w:ilvl="0" w:tplc="9AEA8754">
      <w:start w:val="1"/>
      <w:numFmt w:val="decimal"/>
      <w:lvlText w:val="%1."/>
      <w:lvlJc w:val="left"/>
      <w:pPr>
        <w:ind w:left="704" w:hanging="4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3A3C4E41"/>
    <w:multiLevelType w:val="hybridMultilevel"/>
    <w:tmpl w:val="ACB42A82"/>
    <w:lvl w:ilvl="0" w:tplc="A83EC40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00833FE"/>
    <w:multiLevelType w:val="hybridMultilevel"/>
    <w:tmpl w:val="16FE72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AA703A"/>
    <w:multiLevelType w:val="hybridMultilevel"/>
    <w:tmpl w:val="DC02FA52"/>
    <w:lvl w:ilvl="0" w:tplc="A83EC40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EE76FF"/>
    <w:multiLevelType w:val="hybridMultilevel"/>
    <w:tmpl w:val="DE3AD18C"/>
    <w:lvl w:ilvl="0" w:tplc="D1C0709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7901757D"/>
    <w:multiLevelType w:val="hybridMultilevel"/>
    <w:tmpl w:val="F9B08A5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8"/>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59"/>
    <w:rsid w:val="000002C1"/>
    <w:rsid w:val="00002F14"/>
    <w:rsid w:val="00020194"/>
    <w:rsid w:val="000219D2"/>
    <w:rsid w:val="00055C8A"/>
    <w:rsid w:val="0005799A"/>
    <w:rsid w:val="0007185B"/>
    <w:rsid w:val="0007764A"/>
    <w:rsid w:val="00080EB3"/>
    <w:rsid w:val="00081BD1"/>
    <w:rsid w:val="000C661B"/>
    <w:rsid w:val="000E229F"/>
    <w:rsid w:val="00107732"/>
    <w:rsid w:val="00123C1B"/>
    <w:rsid w:val="00136D68"/>
    <w:rsid w:val="00147B8F"/>
    <w:rsid w:val="001512E8"/>
    <w:rsid w:val="0015778B"/>
    <w:rsid w:val="00167F7F"/>
    <w:rsid w:val="00180F68"/>
    <w:rsid w:val="00184507"/>
    <w:rsid w:val="00194232"/>
    <w:rsid w:val="001A3448"/>
    <w:rsid w:val="001C2F4A"/>
    <w:rsid w:val="001D241C"/>
    <w:rsid w:val="001D3478"/>
    <w:rsid w:val="001D5CBE"/>
    <w:rsid w:val="001E198F"/>
    <w:rsid w:val="001E325A"/>
    <w:rsid w:val="001F0794"/>
    <w:rsid w:val="001F0AD8"/>
    <w:rsid w:val="001F60F6"/>
    <w:rsid w:val="002005A5"/>
    <w:rsid w:val="00201C11"/>
    <w:rsid w:val="002064B3"/>
    <w:rsid w:val="00212D1E"/>
    <w:rsid w:val="00243C86"/>
    <w:rsid w:val="002447B6"/>
    <w:rsid w:val="00245E19"/>
    <w:rsid w:val="00250001"/>
    <w:rsid w:val="00262897"/>
    <w:rsid w:val="00267666"/>
    <w:rsid w:val="00271782"/>
    <w:rsid w:val="0027566E"/>
    <w:rsid w:val="00284391"/>
    <w:rsid w:val="002924E4"/>
    <w:rsid w:val="002934A5"/>
    <w:rsid w:val="002951A9"/>
    <w:rsid w:val="00296136"/>
    <w:rsid w:val="002A1501"/>
    <w:rsid w:val="002D2D33"/>
    <w:rsid w:val="002E20D4"/>
    <w:rsid w:val="002E3395"/>
    <w:rsid w:val="002F2BE7"/>
    <w:rsid w:val="003234CD"/>
    <w:rsid w:val="00324479"/>
    <w:rsid w:val="003279CC"/>
    <w:rsid w:val="00345FD1"/>
    <w:rsid w:val="00346DF2"/>
    <w:rsid w:val="00352815"/>
    <w:rsid w:val="00355A68"/>
    <w:rsid w:val="0036429C"/>
    <w:rsid w:val="00365E60"/>
    <w:rsid w:val="00367A49"/>
    <w:rsid w:val="003730CA"/>
    <w:rsid w:val="00382E41"/>
    <w:rsid w:val="00385751"/>
    <w:rsid w:val="00390031"/>
    <w:rsid w:val="0039164D"/>
    <w:rsid w:val="0039360E"/>
    <w:rsid w:val="003A268D"/>
    <w:rsid w:val="003A59E3"/>
    <w:rsid w:val="003A7561"/>
    <w:rsid w:val="003B23D3"/>
    <w:rsid w:val="003B24E4"/>
    <w:rsid w:val="003E4D12"/>
    <w:rsid w:val="003E5BB4"/>
    <w:rsid w:val="003E7061"/>
    <w:rsid w:val="003F4061"/>
    <w:rsid w:val="003F7BFD"/>
    <w:rsid w:val="00412FE1"/>
    <w:rsid w:val="004139E6"/>
    <w:rsid w:val="0041438B"/>
    <w:rsid w:val="00417A3C"/>
    <w:rsid w:val="00421ED6"/>
    <w:rsid w:val="00426BB2"/>
    <w:rsid w:val="00431E8D"/>
    <w:rsid w:val="00433E5C"/>
    <w:rsid w:val="00465CDE"/>
    <w:rsid w:val="004715D5"/>
    <w:rsid w:val="0048133A"/>
    <w:rsid w:val="004934B9"/>
    <w:rsid w:val="004B7D85"/>
    <w:rsid w:val="004D7167"/>
    <w:rsid w:val="004E2F8F"/>
    <w:rsid w:val="00504AC9"/>
    <w:rsid w:val="00523BF1"/>
    <w:rsid w:val="00535632"/>
    <w:rsid w:val="00537926"/>
    <w:rsid w:val="00541070"/>
    <w:rsid w:val="005423DC"/>
    <w:rsid w:val="00546010"/>
    <w:rsid w:val="00552FDF"/>
    <w:rsid w:val="005605F7"/>
    <w:rsid w:val="005745CB"/>
    <w:rsid w:val="00574CD0"/>
    <w:rsid w:val="00582FBC"/>
    <w:rsid w:val="00585F58"/>
    <w:rsid w:val="005C6C9C"/>
    <w:rsid w:val="005C7DF7"/>
    <w:rsid w:val="005E3149"/>
    <w:rsid w:val="0060159B"/>
    <w:rsid w:val="00607781"/>
    <w:rsid w:val="006167D0"/>
    <w:rsid w:val="006226C6"/>
    <w:rsid w:val="00624165"/>
    <w:rsid w:val="00625157"/>
    <w:rsid w:val="00627C15"/>
    <w:rsid w:val="00660695"/>
    <w:rsid w:val="00664249"/>
    <w:rsid w:val="00683159"/>
    <w:rsid w:val="0069319D"/>
    <w:rsid w:val="0069479F"/>
    <w:rsid w:val="006A4703"/>
    <w:rsid w:val="006B1079"/>
    <w:rsid w:val="006B405F"/>
    <w:rsid w:val="006B763B"/>
    <w:rsid w:val="006C0293"/>
    <w:rsid w:val="006D1209"/>
    <w:rsid w:val="006D7640"/>
    <w:rsid w:val="006E0D71"/>
    <w:rsid w:val="006E2868"/>
    <w:rsid w:val="006E3A71"/>
    <w:rsid w:val="006E53C1"/>
    <w:rsid w:val="006E6E1B"/>
    <w:rsid w:val="006F0D22"/>
    <w:rsid w:val="006F1D21"/>
    <w:rsid w:val="006F6892"/>
    <w:rsid w:val="007040B6"/>
    <w:rsid w:val="00713110"/>
    <w:rsid w:val="00724BBA"/>
    <w:rsid w:val="0074433C"/>
    <w:rsid w:val="007477AD"/>
    <w:rsid w:val="00751F41"/>
    <w:rsid w:val="00754B40"/>
    <w:rsid w:val="00760D51"/>
    <w:rsid w:val="00762CD7"/>
    <w:rsid w:val="00764D4C"/>
    <w:rsid w:val="00766F0C"/>
    <w:rsid w:val="00784CF2"/>
    <w:rsid w:val="0079038E"/>
    <w:rsid w:val="007A112B"/>
    <w:rsid w:val="007B0437"/>
    <w:rsid w:val="007B26C7"/>
    <w:rsid w:val="007B6203"/>
    <w:rsid w:val="007C67DE"/>
    <w:rsid w:val="007D1A85"/>
    <w:rsid w:val="007D2491"/>
    <w:rsid w:val="007E3071"/>
    <w:rsid w:val="007F0866"/>
    <w:rsid w:val="00826553"/>
    <w:rsid w:val="00831059"/>
    <w:rsid w:val="0083198D"/>
    <w:rsid w:val="00831FD0"/>
    <w:rsid w:val="00836C45"/>
    <w:rsid w:val="00841FD6"/>
    <w:rsid w:val="008707D2"/>
    <w:rsid w:val="00880CA0"/>
    <w:rsid w:val="008A72EE"/>
    <w:rsid w:val="008B7BCA"/>
    <w:rsid w:val="008B7CBE"/>
    <w:rsid w:val="008C11C9"/>
    <w:rsid w:val="008C49F8"/>
    <w:rsid w:val="008D5E2B"/>
    <w:rsid w:val="008E047C"/>
    <w:rsid w:val="008F0B14"/>
    <w:rsid w:val="00900561"/>
    <w:rsid w:val="00903E97"/>
    <w:rsid w:val="00904D65"/>
    <w:rsid w:val="009151EF"/>
    <w:rsid w:val="00937B8D"/>
    <w:rsid w:val="00951BCD"/>
    <w:rsid w:val="0096459F"/>
    <w:rsid w:val="00964E20"/>
    <w:rsid w:val="00973551"/>
    <w:rsid w:val="00982E79"/>
    <w:rsid w:val="00987F16"/>
    <w:rsid w:val="009A1155"/>
    <w:rsid w:val="009A24F3"/>
    <w:rsid w:val="009C15F0"/>
    <w:rsid w:val="009D332B"/>
    <w:rsid w:val="009F0875"/>
    <w:rsid w:val="00A03E75"/>
    <w:rsid w:val="00A04AE7"/>
    <w:rsid w:val="00A063D5"/>
    <w:rsid w:val="00A21C62"/>
    <w:rsid w:val="00A448F5"/>
    <w:rsid w:val="00A62D7F"/>
    <w:rsid w:val="00A70B82"/>
    <w:rsid w:val="00A71484"/>
    <w:rsid w:val="00A73051"/>
    <w:rsid w:val="00A857C4"/>
    <w:rsid w:val="00A9219F"/>
    <w:rsid w:val="00A92926"/>
    <w:rsid w:val="00AB3A67"/>
    <w:rsid w:val="00AB7031"/>
    <w:rsid w:val="00AB78F7"/>
    <w:rsid w:val="00AD03A8"/>
    <w:rsid w:val="00AD6B48"/>
    <w:rsid w:val="00AE12B0"/>
    <w:rsid w:val="00AE2159"/>
    <w:rsid w:val="00AF5EE3"/>
    <w:rsid w:val="00B07F85"/>
    <w:rsid w:val="00B11152"/>
    <w:rsid w:val="00B148F3"/>
    <w:rsid w:val="00B15282"/>
    <w:rsid w:val="00B1533D"/>
    <w:rsid w:val="00B35A19"/>
    <w:rsid w:val="00B51829"/>
    <w:rsid w:val="00B51ECF"/>
    <w:rsid w:val="00B57D44"/>
    <w:rsid w:val="00B60921"/>
    <w:rsid w:val="00B63F9F"/>
    <w:rsid w:val="00B72A3F"/>
    <w:rsid w:val="00B74616"/>
    <w:rsid w:val="00B76EDB"/>
    <w:rsid w:val="00B93993"/>
    <w:rsid w:val="00BB0A96"/>
    <w:rsid w:val="00BB2252"/>
    <w:rsid w:val="00BB4B04"/>
    <w:rsid w:val="00BB61D5"/>
    <w:rsid w:val="00BC4CAA"/>
    <w:rsid w:val="00BD1153"/>
    <w:rsid w:val="00BD4398"/>
    <w:rsid w:val="00BF0632"/>
    <w:rsid w:val="00BF2D25"/>
    <w:rsid w:val="00BF5F49"/>
    <w:rsid w:val="00C1094C"/>
    <w:rsid w:val="00C14035"/>
    <w:rsid w:val="00C16EAA"/>
    <w:rsid w:val="00C231F1"/>
    <w:rsid w:val="00C246E5"/>
    <w:rsid w:val="00C35C0A"/>
    <w:rsid w:val="00C513DC"/>
    <w:rsid w:val="00C74CB9"/>
    <w:rsid w:val="00C775EE"/>
    <w:rsid w:val="00C8276F"/>
    <w:rsid w:val="00C842E5"/>
    <w:rsid w:val="00CA47EC"/>
    <w:rsid w:val="00CC3415"/>
    <w:rsid w:val="00CD4117"/>
    <w:rsid w:val="00CD4A7D"/>
    <w:rsid w:val="00CE316A"/>
    <w:rsid w:val="00CE6747"/>
    <w:rsid w:val="00CE6C33"/>
    <w:rsid w:val="00CF1759"/>
    <w:rsid w:val="00D0447E"/>
    <w:rsid w:val="00D056E1"/>
    <w:rsid w:val="00D068E5"/>
    <w:rsid w:val="00D10137"/>
    <w:rsid w:val="00D319FB"/>
    <w:rsid w:val="00D34A5C"/>
    <w:rsid w:val="00D37C3E"/>
    <w:rsid w:val="00D4415F"/>
    <w:rsid w:val="00D44A10"/>
    <w:rsid w:val="00D46351"/>
    <w:rsid w:val="00D5674E"/>
    <w:rsid w:val="00D604AD"/>
    <w:rsid w:val="00D86199"/>
    <w:rsid w:val="00D86BB2"/>
    <w:rsid w:val="00D90C9F"/>
    <w:rsid w:val="00D96209"/>
    <w:rsid w:val="00DA53A6"/>
    <w:rsid w:val="00DB0F46"/>
    <w:rsid w:val="00DB282D"/>
    <w:rsid w:val="00DC1AD7"/>
    <w:rsid w:val="00DC3860"/>
    <w:rsid w:val="00DC4CCE"/>
    <w:rsid w:val="00DD2CC4"/>
    <w:rsid w:val="00DD4058"/>
    <w:rsid w:val="00DD778B"/>
    <w:rsid w:val="00DE44C8"/>
    <w:rsid w:val="00DE75CE"/>
    <w:rsid w:val="00DF4764"/>
    <w:rsid w:val="00E01A7B"/>
    <w:rsid w:val="00E01DC3"/>
    <w:rsid w:val="00E03C74"/>
    <w:rsid w:val="00E06F7C"/>
    <w:rsid w:val="00E178B1"/>
    <w:rsid w:val="00E3789B"/>
    <w:rsid w:val="00E40955"/>
    <w:rsid w:val="00E4665D"/>
    <w:rsid w:val="00E55444"/>
    <w:rsid w:val="00E75685"/>
    <w:rsid w:val="00E85BA3"/>
    <w:rsid w:val="00E95240"/>
    <w:rsid w:val="00EB2052"/>
    <w:rsid w:val="00EB452F"/>
    <w:rsid w:val="00EB7004"/>
    <w:rsid w:val="00EC0128"/>
    <w:rsid w:val="00EC4EE6"/>
    <w:rsid w:val="00EC5D9A"/>
    <w:rsid w:val="00EC66D0"/>
    <w:rsid w:val="00EE39FA"/>
    <w:rsid w:val="00EE4BFD"/>
    <w:rsid w:val="00F4179A"/>
    <w:rsid w:val="00F47D84"/>
    <w:rsid w:val="00F629B2"/>
    <w:rsid w:val="00F6680E"/>
    <w:rsid w:val="00F7355D"/>
    <w:rsid w:val="00F7447D"/>
    <w:rsid w:val="00F76B0A"/>
    <w:rsid w:val="00F925CA"/>
    <w:rsid w:val="00F97774"/>
    <w:rsid w:val="00FA04CB"/>
    <w:rsid w:val="00FA51B1"/>
    <w:rsid w:val="00FA60F2"/>
    <w:rsid w:val="00FB249D"/>
    <w:rsid w:val="00FC235F"/>
    <w:rsid w:val="00FC7025"/>
    <w:rsid w:val="00FD407E"/>
    <w:rsid w:val="00FE3C1A"/>
    <w:rsid w:val="00FF3BE2"/>
    <w:rsid w:val="00FF5D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57BF"/>
  <w15:docId w15:val="{91BECACB-76FD-417C-BF9D-966CEE84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159"/>
    <w:pPr>
      <w:spacing w:after="0" w:line="240" w:lineRule="auto"/>
    </w:pPr>
    <w:rPr>
      <w:rFonts w:ascii="Arial" w:eastAsia="Times New Roman" w:hAnsi="Arial" w:cs="Times New Roman"/>
      <w:kern w:val="18"/>
      <w:sz w:val="20"/>
      <w:szCs w:val="20"/>
      <w:lang w:eastAsia="es-ES"/>
    </w:rPr>
  </w:style>
  <w:style w:type="paragraph" w:styleId="Ttulo5">
    <w:name w:val="heading 5"/>
    <w:basedOn w:val="Normal"/>
    <w:next w:val="Normal"/>
    <w:link w:val="Ttulo5Car"/>
    <w:qFormat/>
    <w:rsid w:val="00683159"/>
    <w:pPr>
      <w:keepNext/>
      <w:jc w:val="center"/>
      <w:outlineLvl w:val="4"/>
    </w:pPr>
    <w:rPr>
      <w:rFonts w:ascii="Times New Roman" w:hAnsi="Times New Roman"/>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683159"/>
    <w:rPr>
      <w:rFonts w:ascii="Times New Roman" w:eastAsia="Times New Roman" w:hAnsi="Times New Roman" w:cs="Times New Roman"/>
      <w:b/>
      <w:kern w:val="18"/>
      <w:sz w:val="28"/>
      <w:szCs w:val="20"/>
      <w:lang w:val="es-ES_tradnl" w:eastAsia="es-ES"/>
    </w:rPr>
  </w:style>
  <w:style w:type="paragraph" w:styleId="Textoindependiente">
    <w:name w:val="Body Text"/>
    <w:basedOn w:val="Normal"/>
    <w:link w:val="TextoindependienteCar"/>
    <w:rsid w:val="00683159"/>
    <w:pPr>
      <w:jc w:val="both"/>
    </w:pPr>
    <w:rPr>
      <w:b/>
      <w:sz w:val="28"/>
    </w:rPr>
  </w:style>
  <w:style w:type="character" w:customStyle="1" w:styleId="TextoindependienteCar">
    <w:name w:val="Texto independiente Car"/>
    <w:basedOn w:val="Fuentedeprrafopredeter"/>
    <w:link w:val="Textoindependiente"/>
    <w:rsid w:val="00683159"/>
    <w:rPr>
      <w:rFonts w:ascii="Arial" w:eastAsia="Times New Roman" w:hAnsi="Arial" w:cs="Times New Roman"/>
      <w:b/>
      <w:kern w:val="18"/>
      <w:sz w:val="28"/>
      <w:szCs w:val="20"/>
      <w:lang w:eastAsia="es-ES"/>
    </w:rPr>
  </w:style>
  <w:style w:type="paragraph" w:styleId="Piedepgina">
    <w:name w:val="footer"/>
    <w:basedOn w:val="Normal"/>
    <w:link w:val="PiedepginaCar"/>
    <w:rsid w:val="00683159"/>
    <w:pPr>
      <w:tabs>
        <w:tab w:val="center" w:pos="4419"/>
        <w:tab w:val="right" w:pos="8838"/>
      </w:tabs>
    </w:pPr>
  </w:style>
  <w:style w:type="character" w:customStyle="1" w:styleId="PiedepginaCar">
    <w:name w:val="Pie de página Car"/>
    <w:basedOn w:val="Fuentedeprrafopredeter"/>
    <w:link w:val="Piedepgina"/>
    <w:rsid w:val="00683159"/>
    <w:rPr>
      <w:rFonts w:ascii="Arial" w:eastAsia="Times New Roman" w:hAnsi="Arial" w:cs="Times New Roman"/>
      <w:kern w:val="18"/>
      <w:sz w:val="20"/>
      <w:szCs w:val="20"/>
      <w:lang w:eastAsia="es-ES"/>
    </w:rPr>
  </w:style>
  <w:style w:type="character" w:styleId="Nmerodepgina">
    <w:name w:val="page number"/>
    <w:basedOn w:val="Fuentedeprrafopredeter"/>
    <w:rsid w:val="00683159"/>
  </w:style>
  <w:style w:type="paragraph" w:styleId="Encabezado">
    <w:name w:val="header"/>
    <w:basedOn w:val="Normal"/>
    <w:link w:val="EncabezadoCar"/>
    <w:uiPriority w:val="99"/>
    <w:rsid w:val="00683159"/>
    <w:pPr>
      <w:tabs>
        <w:tab w:val="center" w:pos="4252"/>
        <w:tab w:val="right" w:pos="8504"/>
      </w:tabs>
    </w:pPr>
    <w:rPr>
      <w:lang w:val="es-ES"/>
    </w:rPr>
  </w:style>
  <w:style w:type="character" w:customStyle="1" w:styleId="EncabezadoCar">
    <w:name w:val="Encabezado Car"/>
    <w:basedOn w:val="Fuentedeprrafopredeter"/>
    <w:link w:val="Encabezado"/>
    <w:uiPriority w:val="99"/>
    <w:rsid w:val="00683159"/>
    <w:rPr>
      <w:rFonts w:ascii="Arial" w:eastAsia="Times New Roman" w:hAnsi="Arial" w:cs="Times New Roman"/>
      <w:kern w:val="18"/>
      <w:sz w:val="20"/>
      <w:szCs w:val="20"/>
      <w:lang w:val="es-ES" w:eastAsia="es-ES"/>
    </w:rPr>
  </w:style>
  <w:style w:type="paragraph" w:customStyle="1" w:styleId="Texto">
    <w:name w:val="Texto"/>
    <w:basedOn w:val="Normal"/>
    <w:rsid w:val="00683159"/>
    <w:pPr>
      <w:spacing w:after="101" w:line="216" w:lineRule="exact"/>
      <w:ind w:firstLine="288"/>
      <w:jc w:val="both"/>
    </w:pPr>
    <w:rPr>
      <w:rFonts w:cs="Arial"/>
      <w:kern w:val="0"/>
      <w:sz w:val="18"/>
      <w:szCs w:val="18"/>
    </w:rPr>
  </w:style>
  <w:style w:type="paragraph" w:styleId="Textodeglobo">
    <w:name w:val="Balloon Text"/>
    <w:basedOn w:val="Normal"/>
    <w:link w:val="TextodegloboCar"/>
    <w:uiPriority w:val="99"/>
    <w:semiHidden/>
    <w:unhideWhenUsed/>
    <w:rsid w:val="002005A5"/>
    <w:rPr>
      <w:rFonts w:ascii="Tahoma" w:hAnsi="Tahoma" w:cs="Tahoma"/>
      <w:sz w:val="16"/>
      <w:szCs w:val="16"/>
    </w:rPr>
  </w:style>
  <w:style w:type="character" w:customStyle="1" w:styleId="TextodegloboCar">
    <w:name w:val="Texto de globo Car"/>
    <w:basedOn w:val="Fuentedeprrafopredeter"/>
    <w:link w:val="Textodeglobo"/>
    <w:uiPriority w:val="99"/>
    <w:semiHidden/>
    <w:rsid w:val="002005A5"/>
    <w:rPr>
      <w:rFonts w:ascii="Tahoma" w:eastAsia="Times New Roman" w:hAnsi="Tahoma" w:cs="Tahoma"/>
      <w:kern w:val="18"/>
      <w:sz w:val="16"/>
      <w:szCs w:val="16"/>
      <w:lang w:eastAsia="es-ES"/>
    </w:rPr>
  </w:style>
  <w:style w:type="paragraph" w:customStyle="1" w:styleId="TextoCar">
    <w:name w:val="Texto Car"/>
    <w:basedOn w:val="Normal"/>
    <w:link w:val="TextoCarCar"/>
    <w:uiPriority w:val="99"/>
    <w:rsid w:val="00365E60"/>
    <w:pPr>
      <w:spacing w:after="101" w:line="216" w:lineRule="exact"/>
      <w:ind w:firstLine="288"/>
      <w:jc w:val="both"/>
    </w:pPr>
    <w:rPr>
      <w:kern w:val="0"/>
      <w:sz w:val="18"/>
      <w:szCs w:val="18"/>
      <w:lang w:val="es-ES"/>
    </w:rPr>
  </w:style>
  <w:style w:type="character" w:customStyle="1" w:styleId="TextoCarCar">
    <w:name w:val="Texto Car Car"/>
    <w:link w:val="TextoCar"/>
    <w:uiPriority w:val="99"/>
    <w:locked/>
    <w:rsid w:val="00365E60"/>
    <w:rPr>
      <w:rFonts w:ascii="Arial" w:eastAsia="Times New Roman" w:hAnsi="Arial" w:cs="Times New Roman"/>
      <w:sz w:val="18"/>
      <w:szCs w:val="18"/>
      <w:lang w:val="es-ES" w:eastAsia="es-ES"/>
    </w:rPr>
  </w:style>
  <w:style w:type="paragraph" w:styleId="Sinespaciado">
    <w:name w:val="No Spacing"/>
    <w:link w:val="SinespaciadoCar"/>
    <w:uiPriority w:val="1"/>
    <w:qFormat/>
    <w:rsid w:val="00D068E5"/>
    <w:pPr>
      <w:spacing w:after="0" w:line="240" w:lineRule="auto"/>
    </w:pPr>
    <w:rPr>
      <w:rFonts w:eastAsiaTheme="minorEastAsia"/>
      <w:lang w:eastAsia="es-MX"/>
    </w:rPr>
  </w:style>
  <w:style w:type="paragraph" w:styleId="Prrafodelista">
    <w:name w:val="List Paragraph"/>
    <w:basedOn w:val="Normal"/>
    <w:uiPriority w:val="34"/>
    <w:qFormat/>
    <w:rsid w:val="0039360E"/>
    <w:pPr>
      <w:ind w:left="720"/>
      <w:contextualSpacing/>
    </w:pPr>
  </w:style>
  <w:style w:type="paragraph" w:styleId="Revisin">
    <w:name w:val="Revision"/>
    <w:hidden/>
    <w:uiPriority w:val="99"/>
    <w:semiHidden/>
    <w:rsid w:val="00DC3860"/>
    <w:pPr>
      <w:spacing w:after="0" w:line="240" w:lineRule="auto"/>
    </w:pPr>
    <w:rPr>
      <w:rFonts w:ascii="Arial" w:eastAsia="Times New Roman" w:hAnsi="Arial" w:cs="Times New Roman"/>
      <w:kern w:val="18"/>
      <w:sz w:val="20"/>
      <w:szCs w:val="20"/>
      <w:lang w:eastAsia="es-ES"/>
    </w:rPr>
  </w:style>
  <w:style w:type="character" w:styleId="Refdecomentario">
    <w:name w:val="annotation reference"/>
    <w:basedOn w:val="Fuentedeprrafopredeter"/>
    <w:uiPriority w:val="99"/>
    <w:semiHidden/>
    <w:unhideWhenUsed/>
    <w:rsid w:val="00D46351"/>
    <w:rPr>
      <w:sz w:val="16"/>
      <w:szCs w:val="16"/>
    </w:rPr>
  </w:style>
  <w:style w:type="paragraph" w:styleId="Textocomentario">
    <w:name w:val="annotation text"/>
    <w:basedOn w:val="Normal"/>
    <w:link w:val="TextocomentarioCar"/>
    <w:uiPriority w:val="99"/>
    <w:semiHidden/>
    <w:unhideWhenUsed/>
    <w:rsid w:val="00D46351"/>
  </w:style>
  <w:style w:type="character" w:customStyle="1" w:styleId="TextocomentarioCar">
    <w:name w:val="Texto comentario Car"/>
    <w:basedOn w:val="Fuentedeprrafopredeter"/>
    <w:link w:val="Textocomentario"/>
    <w:uiPriority w:val="99"/>
    <w:semiHidden/>
    <w:rsid w:val="00D46351"/>
    <w:rPr>
      <w:rFonts w:ascii="Arial" w:eastAsia="Times New Roman" w:hAnsi="Arial" w:cs="Times New Roman"/>
      <w:kern w:val="18"/>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46351"/>
    <w:rPr>
      <w:b/>
      <w:bCs/>
    </w:rPr>
  </w:style>
  <w:style w:type="character" w:customStyle="1" w:styleId="AsuntodelcomentarioCar">
    <w:name w:val="Asunto del comentario Car"/>
    <w:basedOn w:val="TextocomentarioCar"/>
    <w:link w:val="Asuntodelcomentario"/>
    <w:uiPriority w:val="99"/>
    <w:semiHidden/>
    <w:rsid w:val="00D46351"/>
    <w:rPr>
      <w:rFonts w:ascii="Arial" w:eastAsia="Times New Roman" w:hAnsi="Arial" w:cs="Times New Roman"/>
      <w:b/>
      <w:bCs/>
      <w:kern w:val="18"/>
      <w:sz w:val="20"/>
      <w:szCs w:val="20"/>
      <w:lang w:eastAsia="es-ES"/>
    </w:rPr>
  </w:style>
  <w:style w:type="paragraph" w:styleId="Textonotapie">
    <w:name w:val="footnote text"/>
    <w:basedOn w:val="Normal"/>
    <w:link w:val="TextonotapieCar"/>
    <w:uiPriority w:val="99"/>
    <w:semiHidden/>
    <w:unhideWhenUsed/>
    <w:rsid w:val="006D1209"/>
  </w:style>
  <w:style w:type="character" w:customStyle="1" w:styleId="TextonotapieCar">
    <w:name w:val="Texto nota pie Car"/>
    <w:basedOn w:val="Fuentedeprrafopredeter"/>
    <w:link w:val="Textonotapie"/>
    <w:uiPriority w:val="99"/>
    <w:semiHidden/>
    <w:rsid w:val="006D1209"/>
    <w:rPr>
      <w:rFonts w:ascii="Arial" w:eastAsia="Times New Roman" w:hAnsi="Arial" w:cs="Times New Roman"/>
      <w:kern w:val="18"/>
      <w:sz w:val="20"/>
      <w:szCs w:val="20"/>
      <w:lang w:eastAsia="es-ES"/>
    </w:rPr>
  </w:style>
  <w:style w:type="character" w:styleId="Refdenotaalpie">
    <w:name w:val="footnote reference"/>
    <w:basedOn w:val="Fuentedeprrafopredeter"/>
    <w:uiPriority w:val="99"/>
    <w:semiHidden/>
    <w:unhideWhenUsed/>
    <w:rsid w:val="006D1209"/>
    <w:rPr>
      <w:vertAlign w:val="superscript"/>
    </w:rPr>
  </w:style>
  <w:style w:type="character" w:customStyle="1" w:styleId="SinespaciadoCar">
    <w:name w:val="Sin espaciado Car"/>
    <w:link w:val="Sinespaciado"/>
    <w:uiPriority w:val="1"/>
    <w:qFormat/>
    <w:locked/>
    <w:rsid w:val="00B74616"/>
    <w:rPr>
      <w:rFonts w:eastAsiaTheme="minorEastAsia"/>
      <w:lang w:eastAsia="es-MX"/>
    </w:rPr>
  </w:style>
  <w:style w:type="table" w:styleId="Tablanormal1">
    <w:name w:val="Plain Table 1"/>
    <w:basedOn w:val="Tablanormal"/>
    <w:uiPriority w:val="41"/>
    <w:rsid w:val="00DD778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26289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concuadrcula">
    <w:name w:val="Table Grid"/>
    <w:basedOn w:val="Tablanormal"/>
    <w:uiPriority w:val="39"/>
    <w:rsid w:val="00B57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0430C-E24A-466F-88BA-3D643C6E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2282</Words>
  <Characters>12551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Luis Alfonso Campos</cp:lastModifiedBy>
  <cp:revision>11</cp:revision>
  <cp:lastPrinted>2022-12-13T21:15:00Z</cp:lastPrinted>
  <dcterms:created xsi:type="dcterms:W3CDTF">2022-12-07T18:21:00Z</dcterms:created>
  <dcterms:modified xsi:type="dcterms:W3CDTF">2022-12-15T19:25:00Z</dcterms:modified>
</cp:coreProperties>
</file>