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E9D2" w14:textId="6C325231" w:rsidR="002B2040" w:rsidRPr="00524DB3" w:rsidRDefault="002B2040" w:rsidP="00524DB3">
      <w:pPr>
        <w:spacing w:after="0"/>
        <w:jc w:val="both"/>
        <w:rPr>
          <w:rFonts w:ascii="Arial" w:eastAsia="Times New Roman" w:hAnsi="Arial" w:cs="Arial"/>
          <w:b/>
          <w:kern w:val="2"/>
          <w:sz w:val="24"/>
          <w:szCs w:val="24"/>
          <w:lang w:eastAsia="ar-SA"/>
        </w:rPr>
      </w:pPr>
      <w:r w:rsidRPr="00524DB3">
        <w:rPr>
          <w:rFonts w:ascii="Arial" w:hAnsi="Arial" w:cs="Arial"/>
          <w:b/>
          <w:sz w:val="24"/>
          <w:szCs w:val="24"/>
          <w:lang w:eastAsia="es-ES"/>
        </w:rPr>
        <w:t xml:space="preserve">ACUERDO DEL CONSEJO GENERAL DEL INSTITUTO ELECTORAL Y DE PARTICIPACIÓN CIUDADANA DEL ESTADO DE JALISCO, QUE APRUEBA </w:t>
      </w:r>
      <w:r w:rsidR="00EE1BA6" w:rsidRPr="00524DB3">
        <w:rPr>
          <w:rFonts w:ascii="Arial" w:hAnsi="Arial" w:cs="Arial"/>
          <w:b/>
          <w:sz w:val="24"/>
          <w:szCs w:val="24"/>
          <w:lang w:eastAsia="es-ES"/>
        </w:rPr>
        <w:t xml:space="preserve">EL </w:t>
      </w:r>
      <w:r w:rsidRPr="00524DB3">
        <w:rPr>
          <w:rFonts w:ascii="Arial" w:eastAsia="Calibri" w:hAnsi="Arial" w:cs="Arial"/>
          <w:b/>
          <w:sz w:val="24"/>
          <w:szCs w:val="24"/>
        </w:rPr>
        <w:t xml:space="preserve">PROGRAMA ANUAL DE </w:t>
      </w:r>
      <w:r w:rsidR="00255AD4" w:rsidRPr="00524DB3">
        <w:rPr>
          <w:rFonts w:ascii="Arial" w:eastAsia="Calibri" w:hAnsi="Arial" w:cs="Arial"/>
          <w:b/>
          <w:sz w:val="24"/>
          <w:szCs w:val="24"/>
        </w:rPr>
        <w:t>ADQUISICIONES, ARRENDAMIENTOS Y SERVICIOS</w:t>
      </w:r>
      <w:r w:rsidRPr="00524DB3">
        <w:rPr>
          <w:rFonts w:ascii="Arial" w:eastAsia="Calibri" w:hAnsi="Arial" w:cs="Arial"/>
          <w:b/>
          <w:sz w:val="24"/>
          <w:szCs w:val="24"/>
        </w:rPr>
        <w:t xml:space="preserve"> DE ESTE ORGANISMO ELECTORAL</w:t>
      </w:r>
      <w:r w:rsidR="00A56F13" w:rsidRPr="00524DB3">
        <w:rPr>
          <w:rFonts w:ascii="Arial" w:hAnsi="Arial" w:cs="Arial"/>
          <w:b/>
          <w:sz w:val="24"/>
          <w:szCs w:val="24"/>
          <w:lang w:eastAsia="es-ES"/>
        </w:rPr>
        <w:t>,</w:t>
      </w:r>
      <w:r w:rsidR="00A56F13" w:rsidRPr="00524DB3">
        <w:rPr>
          <w:rFonts w:ascii="Arial" w:eastAsia="Times New Roman" w:hAnsi="Arial" w:cs="Arial"/>
          <w:b/>
          <w:kern w:val="2"/>
          <w:sz w:val="24"/>
          <w:szCs w:val="24"/>
          <w:lang w:eastAsia="ar-SA"/>
        </w:rPr>
        <w:t xml:space="preserve"> PARA EL</w:t>
      </w:r>
      <w:r w:rsidR="00EE1BA6" w:rsidRPr="00524DB3">
        <w:rPr>
          <w:rFonts w:ascii="Arial" w:eastAsia="Times New Roman" w:hAnsi="Arial" w:cs="Arial"/>
          <w:b/>
          <w:kern w:val="2"/>
          <w:sz w:val="24"/>
          <w:szCs w:val="24"/>
          <w:lang w:eastAsia="ar-SA"/>
        </w:rPr>
        <w:t xml:space="preserve"> EJERCICIO</w:t>
      </w:r>
      <w:r w:rsidR="00A56F13" w:rsidRPr="00524DB3">
        <w:rPr>
          <w:rFonts w:ascii="Arial" w:eastAsia="Times New Roman" w:hAnsi="Arial" w:cs="Arial"/>
          <w:b/>
          <w:kern w:val="2"/>
          <w:sz w:val="24"/>
          <w:szCs w:val="24"/>
          <w:lang w:eastAsia="ar-SA"/>
        </w:rPr>
        <w:t xml:space="preserve"> DOS MIL </w:t>
      </w:r>
      <w:r w:rsidR="0000088C" w:rsidRPr="00524DB3">
        <w:rPr>
          <w:rFonts w:ascii="Arial" w:eastAsia="Times New Roman" w:hAnsi="Arial" w:cs="Arial"/>
          <w:b/>
          <w:kern w:val="2"/>
          <w:sz w:val="24"/>
          <w:szCs w:val="24"/>
          <w:lang w:eastAsia="ar-SA"/>
        </w:rPr>
        <w:t>VEINTITRÉS</w:t>
      </w:r>
      <w:r w:rsidR="00A56F13" w:rsidRPr="00524DB3">
        <w:rPr>
          <w:rFonts w:ascii="Arial" w:eastAsia="Times New Roman" w:hAnsi="Arial" w:cs="Arial"/>
          <w:b/>
          <w:kern w:val="2"/>
          <w:sz w:val="24"/>
          <w:szCs w:val="24"/>
          <w:lang w:eastAsia="ar-SA"/>
        </w:rPr>
        <w:t>.</w:t>
      </w:r>
    </w:p>
    <w:p w14:paraId="43A7D4A9" w14:textId="77777777" w:rsidR="006B1861" w:rsidRPr="00524DB3" w:rsidRDefault="006B1861" w:rsidP="00524DB3">
      <w:pPr>
        <w:spacing w:after="0"/>
        <w:jc w:val="both"/>
        <w:rPr>
          <w:rFonts w:ascii="Arial" w:hAnsi="Arial" w:cs="Arial"/>
          <w:b/>
          <w:sz w:val="24"/>
          <w:szCs w:val="24"/>
          <w:lang w:eastAsia="es-ES"/>
        </w:rPr>
      </w:pPr>
    </w:p>
    <w:p w14:paraId="767C323D" w14:textId="6E67BC9B" w:rsidR="00A20D15" w:rsidRPr="00524DB3" w:rsidRDefault="00A20D15" w:rsidP="00524DB3">
      <w:pPr>
        <w:spacing w:after="0"/>
        <w:jc w:val="both"/>
        <w:rPr>
          <w:rFonts w:ascii="Arial" w:hAnsi="Arial" w:cs="Arial"/>
          <w:b/>
          <w:sz w:val="24"/>
          <w:szCs w:val="24"/>
          <w:lang w:eastAsia="es-ES"/>
        </w:rPr>
      </w:pPr>
    </w:p>
    <w:p w14:paraId="18963A27" w14:textId="77777777" w:rsidR="002B2040" w:rsidRPr="00524DB3" w:rsidRDefault="002B2040" w:rsidP="00524DB3">
      <w:pPr>
        <w:spacing w:after="0"/>
        <w:jc w:val="center"/>
        <w:rPr>
          <w:rFonts w:ascii="Arial" w:eastAsia="Times New Roman" w:hAnsi="Arial" w:cs="Arial"/>
          <w:b/>
          <w:sz w:val="24"/>
          <w:szCs w:val="24"/>
          <w:lang w:eastAsia="es-ES"/>
        </w:rPr>
      </w:pPr>
      <w:r w:rsidRPr="00524DB3">
        <w:rPr>
          <w:rFonts w:ascii="Arial" w:eastAsia="Times New Roman" w:hAnsi="Arial" w:cs="Arial"/>
          <w:b/>
          <w:sz w:val="24"/>
          <w:szCs w:val="24"/>
          <w:lang w:eastAsia="es-ES"/>
        </w:rPr>
        <w:t>A N T E C E D E N T E S</w:t>
      </w:r>
    </w:p>
    <w:p w14:paraId="43BED5D2" w14:textId="77777777" w:rsidR="00A20D15" w:rsidRPr="00524DB3" w:rsidRDefault="00A20D15" w:rsidP="00524DB3">
      <w:pPr>
        <w:pStyle w:val="Prrafodelista"/>
        <w:tabs>
          <w:tab w:val="left" w:pos="567"/>
        </w:tabs>
        <w:spacing w:line="276" w:lineRule="auto"/>
        <w:ind w:left="0"/>
        <w:jc w:val="both"/>
        <w:rPr>
          <w:rFonts w:ascii="Arial" w:hAnsi="Arial" w:cs="Arial"/>
          <w:b/>
          <w:bCs/>
          <w:kern w:val="18"/>
          <w:lang w:val="es-MX"/>
        </w:rPr>
      </w:pPr>
    </w:p>
    <w:p w14:paraId="5232E6E9" w14:textId="77777777" w:rsidR="00A20D15" w:rsidRPr="00524DB3" w:rsidRDefault="00A20D15" w:rsidP="00524DB3">
      <w:pPr>
        <w:spacing w:after="0"/>
        <w:jc w:val="both"/>
        <w:rPr>
          <w:rFonts w:ascii="Arial" w:hAnsi="Arial" w:cs="Arial"/>
          <w:b/>
          <w:bCs/>
          <w:sz w:val="24"/>
          <w:szCs w:val="24"/>
        </w:rPr>
      </w:pPr>
      <w:r w:rsidRPr="00524DB3">
        <w:rPr>
          <w:rFonts w:ascii="Arial" w:hAnsi="Arial" w:cs="Arial"/>
          <w:b/>
          <w:bCs/>
          <w:sz w:val="24"/>
          <w:szCs w:val="24"/>
        </w:rPr>
        <w:t>CORRESPONDIENTE AL AÑO DOS MIL DIECISÉIS.</w:t>
      </w:r>
    </w:p>
    <w:p w14:paraId="680A8423" w14:textId="77777777" w:rsidR="00A20D15" w:rsidRPr="00524DB3" w:rsidRDefault="00A20D15" w:rsidP="00524DB3">
      <w:pPr>
        <w:spacing w:after="0"/>
        <w:jc w:val="both"/>
        <w:rPr>
          <w:rFonts w:ascii="Arial" w:hAnsi="Arial" w:cs="Arial"/>
          <w:b/>
          <w:bCs/>
          <w:sz w:val="24"/>
          <w:szCs w:val="24"/>
        </w:rPr>
      </w:pPr>
    </w:p>
    <w:p w14:paraId="4AE02A83" w14:textId="67E7B824" w:rsidR="00A20D15" w:rsidRPr="00524DB3" w:rsidRDefault="00A20D15" w:rsidP="00524DB3">
      <w:pPr>
        <w:spacing w:after="0"/>
        <w:jc w:val="both"/>
        <w:rPr>
          <w:rFonts w:ascii="Arial" w:hAnsi="Arial" w:cs="Arial"/>
          <w:sz w:val="24"/>
          <w:szCs w:val="24"/>
        </w:rPr>
      </w:pPr>
      <w:r w:rsidRPr="00524DB3">
        <w:rPr>
          <w:rFonts w:ascii="Arial" w:hAnsi="Arial" w:cs="Arial"/>
          <w:b/>
          <w:kern w:val="2"/>
          <w:sz w:val="24"/>
          <w:szCs w:val="24"/>
          <w:lang w:eastAsia="ar-SA"/>
        </w:rPr>
        <w:t xml:space="preserve">1. EXPEDICIÓN DE LA </w:t>
      </w:r>
      <w:r w:rsidRPr="00524DB3">
        <w:rPr>
          <w:rFonts w:ascii="Arial" w:hAnsi="Arial" w:cs="Arial"/>
          <w:b/>
          <w:sz w:val="24"/>
          <w:szCs w:val="24"/>
        </w:rPr>
        <w:t xml:space="preserve">LEY DE COMPRAS GUBERNAMENTALES, ENAJENACIONES Y CONTRATACIÓN DE SERVICIOS DEL ESTADO DE JALISCO Y SUS MUNICIPIOS. </w:t>
      </w:r>
      <w:r w:rsidRPr="00524DB3">
        <w:rPr>
          <w:rFonts w:ascii="Arial" w:hAnsi="Arial" w:cs="Arial"/>
          <w:sz w:val="24"/>
          <w:szCs w:val="24"/>
        </w:rPr>
        <w:t xml:space="preserve">El veintisiete de octubre se publicó en el periódico oficial “El Estado de Jalisco” el </w:t>
      </w:r>
      <w:r w:rsidR="00333309">
        <w:rPr>
          <w:rFonts w:ascii="Arial" w:hAnsi="Arial" w:cs="Arial"/>
          <w:sz w:val="24"/>
          <w:szCs w:val="24"/>
        </w:rPr>
        <w:t>d</w:t>
      </w:r>
      <w:r w:rsidRPr="00524DB3">
        <w:rPr>
          <w:rFonts w:ascii="Arial" w:hAnsi="Arial" w:cs="Arial"/>
          <w:sz w:val="24"/>
          <w:szCs w:val="24"/>
        </w:rPr>
        <w:t>ecreto 25888/LXI/16, con el que se expidió la Ley de Compras Gubernamentales, Enajenaciones y Contratación de Servicios del Estado de Jalisco y sus Municipios.</w:t>
      </w:r>
    </w:p>
    <w:p w14:paraId="0B2EE487" w14:textId="4D68FB81" w:rsidR="00A20D15" w:rsidRDefault="00A20D15" w:rsidP="00524DB3">
      <w:pPr>
        <w:pStyle w:val="Prrafodelista"/>
        <w:tabs>
          <w:tab w:val="left" w:pos="567"/>
        </w:tabs>
        <w:spacing w:line="276" w:lineRule="auto"/>
        <w:ind w:left="0"/>
        <w:jc w:val="both"/>
        <w:rPr>
          <w:rFonts w:ascii="Arial" w:hAnsi="Arial" w:cs="Arial"/>
          <w:b/>
          <w:bCs/>
          <w:kern w:val="18"/>
          <w:lang w:val="es-MX"/>
        </w:rPr>
      </w:pPr>
    </w:p>
    <w:p w14:paraId="4F855E9A" w14:textId="543AD933" w:rsidR="000D0147" w:rsidRDefault="000D0147" w:rsidP="00524DB3">
      <w:pPr>
        <w:pStyle w:val="Prrafodelista"/>
        <w:tabs>
          <w:tab w:val="left" w:pos="567"/>
        </w:tabs>
        <w:spacing w:line="276" w:lineRule="auto"/>
        <w:ind w:left="0"/>
        <w:jc w:val="both"/>
        <w:rPr>
          <w:rFonts w:ascii="Arial" w:hAnsi="Arial" w:cs="Arial"/>
          <w:b/>
          <w:bCs/>
        </w:rPr>
      </w:pPr>
      <w:r w:rsidRPr="00524DB3">
        <w:rPr>
          <w:rFonts w:ascii="Arial" w:hAnsi="Arial" w:cs="Arial"/>
          <w:b/>
          <w:bCs/>
        </w:rPr>
        <w:t xml:space="preserve">CORRESPONDIENTE AL AÑO DOS MIL </w:t>
      </w:r>
      <w:r>
        <w:rPr>
          <w:rFonts w:ascii="Arial" w:hAnsi="Arial" w:cs="Arial"/>
          <w:b/>
          <w:bCs/>
        </w:rPr>
        <w:t>VEINTE.</w:t>
      </w:r>
    </w:p>
    <w:p w14:paraId="2D0BD591" w14:textId="22D1CD8A" w:rsidR="000D0147" w:rsidRDefault="000D0147" w:rsidP="00524DB3">
      <w:pPr>
        <w:pStyle w:val="Prrafodelista"/>
        <w:tabs>
          <w:tab w:val="left" w:pos="567"/>
        </w:tabs>
        <w:spacing w:line="276" w:lineRule="auto"/>
        <w:ind w:left="0"/>
        <w:jc w:val="both"/>
        <w:rPr>
          <w:rFonts w:ascii="Arial" w:hAnsi="Arial" w:cs="Arial"/>
          <w:kern w:val="18"/>
          <w:lang w:val="es-MX"/>
        </w:rPr>
      </w:pPr>
    </w:p>
    <w:p w14:paraId="20815AF3" w14:textId="51BF66B3" w:rsidR="00107C94" w:rsidRPr="00E302FD" w:rsidRDefault="00D2562D" w:rsidP="00E302FD">
      <w:pPr>
        <w:tabs>
          <w:tab w:val="left" w:pos="567"/>
        </w:tabs>
        <w:spacing w:after="0"/>
        <w:jc w:val="both"/>
        <w:rPr>
          <w:rFonts w:ascii="Arial" w:hAnsi="Arial" w:cs="Arial"/>
          <w:kern w:val="18"/>
          <w:sz w:val="24"/>
          <w:szCs w:val="24"/>
        </w:rPr>
      </w:pPr>
      <w:r w:rsidRPr="00E302FD">
        <w:rPr>
          <w:rFonts w:ascii="Arial" w:hAnsi="Arial" w:cs="Arial"/>
          <w:b/>
          <w:bCs/>
          <w:kern w:val="18"/>
          <w:sz w:val="24"/>
          <w:szCs w:val="24"/>
        </w:rPr>
        <w:t xml:space="preserve">2. </w:t>
      </w:r>
      <w:r w:rsidR="00107C94" w:rsidRPr="00E302FD">
        <w:rPr>
          <w:rFonts w:ascii="Arial" w:hAnsi="Arial" w:cs="Arial"/>
          <w:b/>
          <w:bCs/>
          <w:kern w:val="18"/>
          <w:sz w:val="24"/>
          <w:szCs w:val="24"/>
        </w:rPr>
        <w:t xml:space="preserve"> APROBACIÓN DEL REGLAMENTO INTERIOR DEL COMITÉ DE ADQUISICIONES Y ENAJENACIONES DEL INSTITUTO ELECTORAL Y DE PARTICIPACIÓN CIUDADANA DEL ESTADO DE JALISCO Y DEMÁS ÓRGANOS EN LOS PROCESOS DE ADQUISICIÓN Y ENAJENACIÓN</w:t>
      </w:r>
      <w:r w:rsidR="00107C94" w:rsidRPr="00E302FD">
        <w:rPr>
          <w:rFonts w:ascii="Arial" w:hAnsi="Arial" w:cs="Arial"/>
          <w:kern w:val="18"/>
          <w:sz w:val="24"/>
          <w:szCs w:val="24"/>
        </w:rPr>
        <w:t>. El diez de noviembre, mediante acuerdo AC015/CA/21-12-2020, el Comité de Adquisiciones y Enajenaciones de este organismo electoral aprobó el Reglamento Interior del Comité de Adquisiciones y Enajenaciones del Instituto Electoral y de Participación Ciudadana del Estado de Jalisco y demás Órganos en los Procesos de Adquisición y Enajenación.</w:t>
      </w:r>
    </w:p>
    <w:p w14:paraId="01515D3C" w14:textId="77777777" w:rsidR="00E302FD" w:rsidRPr="00425022" w:rsidRDefault="00E302FD" w:rsidP="00E302FD">
      <w:pPr>
        <w:tabs>
          <w:tab w:val="left" w:pos="567"/>
        </w:tabs>
        <w:spacing w:after="0"/>
        <w:jc w:val="both"/>
        <w:rPr>
          <w:rFonts w:ascii="Arial" w:hAnsi="Arial" w:cs="Arial"/>
          <w:kern w:val="18"/>
        </w:rPr>
      </w:pPr>
    </w:p>
    <w:p w14:paraId="724545CA" w14:textId="183BED4B" w:rsidR="00107C94" w:rsidRDefault="00107C94" w:rsidP="00E302FD">
      <w:pPr>
        <w:tabs>
          <w:tab w:val="left" w:pos="567"/>
        </w:tabs>
        <w:spacing w:after="0"/>
        <w:jc w:val="both"/>
        <w:rPr>
          <w:rFonts w:ascii="Arial" w:hAnsi="Arial" w:cs="Arial"/>
          <w:b/>
          <w:bCs/>
          <w:kern w:val="18"/>
          <w:sz w:val="24"/>
        </w:rPr>
      </w:pPr>
      <w:r w:rsidRPr="00E302FD">
        <w:rPr>
          <w:rFonts w:ascii="Arial" w:hAnsi="Arial" w:cs="Arial"/>
          <w:b/>
          <w:bCs/>
          <w:kern w:val="18"/>
          <w:sz w:val="24"/>
        </w:rPr>
        <w:t>CORRESPONDIENTE AL AÑO DOS MIL VEINTIUNO.</w:t>
      </w:r>
    </w:p>
    <w:p w14:paraId="29726BAA" w14:textId="77777777" w:rsidR="00E302FD" w:rsidRPr="00E302FD" w:rsidRDefault="00E302FD" w:rsidP="00E302FD">
      <w:pPr>
        <w:tabs>
          <w:tab w:val="left" w:pos="567"/>
        </w:tabs>
        <w:spacing w:after="0"/>
        <w:jc w:val="both"/>
        <w:rPr>
          <w:rFonts w:ascii="Arial" w:hAnsi="Arial" w:cs="Arial"/>
          <w:kern w:val="18"/>
          <w:sz w:val="24"/>
        </w:rPr>
      </w:pPr>
    </w:p>
    <w:p w14:paraId="65C6DD4E" w14:textId="71BADC5D" w:rsidR="000D0147" w:rsidRPr="004C6983" w:rsidRDefault="00D2562D" w:rsidP="00E302FD">
      <w:pPr>
        <w:pStyle w:val="Prrafodelista"/>
        <w:tabs>
          <w:tab w:val="left" w:pos="567"/>
        </w:tabs>
        <w:spacing w:line="276" w:lineRule="auto"/>
        <w:ind w:left="0"/>
        <w:jc w:val="both"/>
        <w:rPr>
          <w:rFonts w:ascii="Arial" w:hAnsi="Arial" w:cs="Arial"/>
          <w:kern w:val="18"/>
          <w:lang w:val="es-MX"/>
        </w:rPr>
      </w:pPr>
      <w:r w:rsidRPr="00935183">
        <w:rPr>
          <w:rFonts w:ascii="Arial" w:hAnsi="Arial" w:cs="Arial"/>
          <w:b/>
          <w:bCs/>
          <w:kern w:val="18"/>
          <w:lang w:val="es-MX"/>
        </w:rPr>
        <w:t>3.</w:t>
      </w:r>
      <w:r w:rsidR="00107C94" w:rsidRPr="00935183">
        <w:rPr>
          <w:rFonts w:ascii="Arial" w:hAnsi="Arial" w:cs="Arial"/>
          <w:b/>
          <w:bCs/>
          <w:kern w:val="18"/>
          <w:lang w:val="es-MX"/>
        </w:rPr>
        <w:t xml:space="preserve"> REFORMA DE LA LEY DE COMPRAS GUBERNAMENTALES, ENAJENACIONES Y CONTRATACIÓN DE SERVICIOS DEL ESTADO DE JALISCO Y SUS MUNICIPIOS</w:t>
      </w:r>
      <w:r w:rsidR="00107C94" w:rsidRPr="00935183">
        <w:rPr>
          <w:rFonts w:ascii="Arial" w:hAnsi="Arial" w:cs="Arial"/>
          <w:kern w:val="18"/>
          <w:lang w:val="es-MX"/>
        </w:rPr>
        <w:t xml:space="preserve">. El nueve de septiembre, se publicó en el periódico oficial “El Estado de Jalisco”, el decreto 28438/LXII/21, con el cual se reformó la Ley </w:t>
      </w:r>
      <w:r w:rsidR="00107C94" w:rsidRPr="00935183">
        <w:rPr>
          <w:rFonts w:ascii="Arial" w:hAnsi="Arial" w:cs="Arial"/>
          <w:kern w:val="18"/>
          <w:lang w:val="es-MX"/>
        </w:rPr>
        <w:lastRenderedPageBreak/>
        <w:t>de Compras Gubernamentales, Enajenaciones y Contratación de Servicios del Estado de Jalisco y sus Municipios.</w:t>
      </w:r>
    </w:p>
    <w:p w14:paraId="2ADAAAE9" w14:textId="77777777" w:rsidR="00107C94" w:rsidRDefault="00107C94" w:rsidP="00524DB3">
      <w:pPr>
        <w:pStyle w:val="Prrafodelista"/>
        <w:tabs>
          <w:tab w:val="left" w:pos="567"/>
        </w:tabs>
        <w:spacing w:line="276" w:lineRule="auto"/>
        <w:ind w:left="0"/>
        <w:jc w:val="both"/>
        <w:rPr>
          <w:rFonts w:ascii="Arial" w:hAnsi="Arial" w:cs="Arial"/>
          <w:b/>
          <w:bCs/>
          <w:kern w:val="18"/>
          <w:lang w:val="es-MX"/>
        </w:rPr>
      </w:pPr>
    </w:p>
    <w:p w14:paraId="32518630" w14:textId="73A5632D" w:rsidR="007D15BB" w:rsidRPr="00524DB3" w:rsidRDefault="007D15BB" w:rsidP="00524DB3">
      <w:pPr>
        <w:pStyle w:val="Prrafodelista"/>
        <w:tabs>
          <w:tab w:val="left" w:pos="567"/>
        </w:tabs>
        <w:spacing w:line="276" w:lineRule="auto"/>
        <w:ind w:left="0"/>
        <w:jc w:val="both"/>
        <w:rPr>
          <w:rFonts w:ascii="Arial" w:hAnsi="Arial" w:cs="Arial"/>
          <w:b/>
          <w:bCs/>
          <w:kern w:val="18"/>
          <w:lang w:val="es-MX"/>
        </w:rPr>
      </w:pPr>
      <w:r w:rsidRPr="00524DB3">
        <w:rPr>
          <w:rFonts w:ascii="Arial" w:hAnsi="Arial" w:cs="Arial"/>
          <w:b/>
          <w:bCs/>
          <w:kern w:val="18"/>
          <w:lang w:val="es-MX"/>
        </w:rPr>
        <w:t xml:space="preserve">CORRESPONDIENTES AL AÑO DOS MIL </w:t>
      </w:r>
      <w:r w:rsidR="0000088C" w:rsidRPr="00524DB3">
        <w:rPr>
          <w:rFonts w:ascii="Arial" w:hAnsi="Arial" w:cs="Arial"/>
          <w:b/>
          <w:bCs/>
          <w:kern w:val="18"/>
          <w:lang w:val="es-MX"/>
        </w:rPr>
        <w:t>VEINTIDÓS</w:t>
      </w:r>
      <w:r w:rsidRPr="00524DB3">
        <w:rPr>
          <w:rFonts w:ascii="Arial" w:hAnsi="Arial" w:cs="Arial"/>
          <w:b/>
          <w:bCs/>
          <w:kern w:val="18"/>
          <w:lang w:val="es-MX"/>
        </w:rPr>
        <w:t>.</w:t>
      </w:r>
    </w:p>
    <w:p w14:paraId="3561C769" w14:textId="7079BF92" w:rsidR="00CD62B1" w:rsidRDefault="00CD62B1" w:rsidP="00524DB3">
      <w:pPr>
        <w:pStyle w:val="Prrafodelista"/>
        <w:tabs>
          <w:tab w:val="left" w:pos="567"/>
        </w:tabs>
        <w:spacing w:line="276" w:lineRule="auto"/>
        <w:ind w:left="0"/>
        <w:jc w:val="both"/>
        <w:rPr>
          <w:rFonts w:ascii="Arial" w:hAnsi="Arial" w:cs="Arial"/>
          <w:b/>
          <w:bCs/>
          <w:kern w:val="18"/>
          <w:lang w:val="es-MX"/>
        </w:rPr>
      </w:pPr>
    </w:p>
    <w:p w14:paraId="09B748AA" w14:textId="07F99FA5" w:rsidR="000D0147" w:rsidRDefault="00D131E8" w:rsidP="00524DB3">
      <w:pPr>
        <w:pStyle w:val="Prrafodelista"/>
        <w:tabs>
          <w:tab w:val="left" w:pos="567"/>
        </w:tabs>
        <w:spacing w:line="276" w:lineRule="auto"/>
        <w:ind w:left="0"/>
        <w:jc w:val="both"/>
        <w:rPr>
          <w:rFonts w:ascii="Arial" w:hAnsi="Arial" w:cs="Arial"/>
          <w:kern w:val="18"/>
          <w:lang w:val="es-MX"/>
        </w:rPr>
      </w:pPr>
      <w:r w:rsidRPr="004C6983">
        <w:rPr>
          <w:rFonts w:ascii="Arial" w:hAnsi="Arial" w:cs="Arial"/>
          <w:b/>
          <w:bCs/>
          <w:kern w:val="18"/>
          <w:lang w:val="es-MX"/>
        </w:rPr>
        <w:t xml:space="preserve">4. </w:t>
      </w:r>
      <w:r w:rsidR="000D0147">
        <w:rPr>
          <w:rFonts w:ascii="Arial" w:hAnsi="Arial" w:cs="Arial"/>
          <w:b/>
          <w:bCs/>
          <w:kern w:val="18"/>
          <w:lang w:val="es-MX"/>
        </w:rPr>
        <w:t xml:space="preserve"> INTEGRACIÓN DEL COMITÉ DE ADQUISICIONES Y ENAJENACIONES DEL INSTITUTO ELECTORAL Y DE PARTICIPACIÓN CIUDADANA DEL ESTADO DE JALISCO.</w:t>
      </w:r>
      <w:r w:rsidR="000D0147">
        <w:rPr>
          <w:rFonts w:ascii="Arial" w:hAnsi="Arial" w:cs="Arial"/>
          <w:kern w:val="18"/>
          <w:lang w:val="es-MX"/>
        </w:rPr>
        <w:t xml:space="preserve"> El veinticuatro de febrero, en sesión ordinaria, este órgano colegiado, emitió el acuerdo IEPC-ACG-012/2022, mediante el cual aprobó la integración del Comité de A</w:t>
      </w:r>
      <w:r w:rsidR="000D0147" w:rsidRPr="000D0147">
        <w:rPr>
          <w:rFonts w:ascii="Arial" w:hAnsi="Arial" w:cs="Arial"/>
          <w:kern w:val="18"/>
          <w:lang w:val="es-MX"/>
        </w:rPr>
        <w:t xml:space="preserve">dquisiciones y </w:t>
      </w:r>
      <w:r w:rsidR="000D0147">
        <w:rPr>
          <w:rFonts w:ascii="Arial" w:hAnsi="Arial" w:cs="Arial"/>
          <w:kern w:val="18"/>
          <w:lang w:val="es-MX"/>
        </w:rPr>
        <w:t>E</w:t>
      </w:r>
      <w:r w:rsidR="000D0147" w:rsidRPr="000D0147">
        <w:rPr>
          <w:rFonts w:ascii="Arial" w:hAnsi="Arial" w:cs="Arial"/>
          <w:kern w:val="18"/>
          <w:lang w:val="es-MX"/>
        </w:rPr>
        <w:t>najenacione</w:t>
      </w:r>
      <w:r w:rsidR="000D0147">
        <w:rPr>
          <w:rFonts w:ascii="Arial" w:hAnsi="Arial" w:cs="Arial"/>
          <w:kern w:val="18"/>
          <w:lang w:val="es-MX"/>
        </w:rPr>
        <w:t>s</w:t>
      </w:r>
      <w:r w:rsidR="000D0147" w:rsidRPr="000D0147">
        <w:rPr>
          <w:rFonts w:ascii="Arial" w:hAnsi="Arial" w:cs="Arial"/>
          <w:kern w:val="18"/>
          <w:lang w:val="es-MX"/>
        </w:rPr>
        <w:t xml:space="preserve"> de</w:t>
      </w:r>
      <w:r w:rsidR="000D0147">
        <w:rPr>
          <w:rFonts w:ascii="Arial" w:hAnsi="Arial" w:cs="Arial"/>
          <w:kern w:val="18"/>
          <w:lang w:val="es-MX"/>
        </w:rPr>
        <w:t xml:space="preserve"> este organismo electoral.</w:t>
      </w:r>
    </w:p>
    <w:p w14:paraId="1BC63149" w14:textId="77777777" w:rsidR="000D0147" w:rsidRPr="004C6983" w:rsidRDefault="000D0147" w:rsidP="00524DB3">
      <w:pPr>
        <w:pStyle w:val="Prrafodelista"/>
        <w:tabs>
          <w:tab w:val="left" w:pos="567"/>
        </w:tabs>
        <w:spacing w:line="276" w:lineRule="auto"/>
        <w:ind w:left="0"/>
        <w:jc w:val="both"/>
        <w:rPr>
          <w:rFonts w:ascii="Arial" w:hAnsi="Arial" w:cs="Arial"/>
          <w:kern w:val="18"/>
          <w:lang w:val="es-MX"/>
        </w:rPr>
      </w:pPr>
    </w:p>
    <w:p w14:paraId="5488BCBA" w14:textId="74592524" w:rsidR="0000088C" w:rsidRDefault="00D131E8" w:rsidP="004C6983">
      <w:pPr>
        <w:pStyle w:val="Ttulo1"/>
        <w:spacing w:line="276" w:lineRule="auto"/>
        <w:ind w:left="0"/>
        <w:jc w:val="both"/>
        <w:rPr>
          <w:rFonts w:ascii="Arial" w:hAnsi="Arial" w:cs="Arial"/>
          <w:b w:val="0"/>
          <w:lang w:val="es-ES_tradnl" w:eastAsia="es-ES"/>
        </w:rPr>
      </w:pPr>
      <w:r>
        <w:rPr>
          <w:rFonts w:ascii="Arial" w:hAnsi="Arial" w:cs="Arial"/>
          <w:kern w:val="18"/>
          <w:lang w:val="es-MX"/>
        </w:rPr>
        <w:t xml:space="preserve">5. </w:t>
      </w:r>
      <w:r w:rsidR="0000088C" w:rsidRPr="00524DB3">
        <w:rPr>
          <w:rFonts w:ascii="Arial" w:hAnsi="Arial" w:cs="Arial"/>
          <w:kern w:val="18"/>
          <w:lang w:val="es-MX"/>
        </w:rPr>
        <w:t xml:space="preserve"> </w:t>
      </w:r>
      <w:r w:rsidR="0000088C" w:rsidRPr="00524DB3">
        <w:rPr>
          <w:rFonts w:ascii="Arial" w:hAnsi="Arial" w:cs="Arial"/>
          <w:lang w:eastAsia="es-ES"/>
        </w:rPr>
        <w:t xml:space="preserve">APROBACIÓN </w:t>
      </w:r>
      <w:r w:rsidR="00457B4E" w:rsidRPr="00457B4E">
        <w:rPr>
          <w:rFonts w:ascii="Arial" w:hAnsi="Arial" w:cs="Arial"/>
          <w:lang w:eastAsia="es-ES"/>
        </w:rPr>
        <w:t>LAS MATRICES DE INDICADORES PARA RESULTADOS; EL ANTEPROYECTO DE PRESUPUESTO DE EGRESOS RELATIVO AL GASTO ORDINARIO; ASÍ COMO LA PLANTILLA DE PERSONAL DE ESTE ORGANISMO ELECTORAL, PARA EL EJERCICIO DEL AÑO DOS MIL VEINTITRÉS.</w:t>
      </w:r>
      <w:r w:rsidR="00457B4E">
        <w:rPr>
          <w:rFonts w:ascii="Arial" w:hAnsi="Arial" w:cs="Arial"/>
          <w:lang w:eastAsia="es-ES"/>
        </w:rPr>
        <w:t xml:space="preserve"> </w:t>
      </w:r>
      <w:r w:rsidR="0000088C" w:rsidRPr="00524DB3">
        <w:rPr>
          <w:rFonts w:ascii="Arial" w:hAnsi="Arial" w:cs="Arial"/>
          <w:b w:val="0"/>
          <w:lang w:eastAsia="es-ES"/>
        </w:rPr>
        <w:t>E</w:t>
      </w:r>
      <w:r w:rsidR="0000088C" w:rsidRPr="00524DB3">
        <w:rPr>
          <w:rFonts w:ascii="Arial" w:hAnsi="Arial" w:cs="Arial"/>
          <w:b w:val="0"/>
          <w:lang w:val="es-ES_tradnl" w:eastAsia="es-ES"/>
        </w:rPr>
        <w:t xml:space="preserve">l veintisiete de julio, el Consejo General de este Instituto, mediante acuerdo IEPC-ACG-045/2022, aprobó </w:t>
      </w:r>
      <w:r w:rsidR="00457B4E" w:rsidRPr="00457B4E">
        <w:rPr>
          <w:rFonts w:ascii="Arial" w:hAnsi="Arial" w:cs="Arial"/>
          <w:b w:val="0"/>
          <w:lang w:val="es-ES_tradnl" w:eastAsia="es-ES"/>
        </w:rPr>
        <w:t>las matrices de indicadores para resultados; el anteproyecto de presupuesto de egresos relativo al gasto ordinario; así como la plantilla de personal de este organismo electoral, para el ejercicio del año dos mil veintitrés.</w:t>
      </w:r>
      <w:r w:rsidR="00457B4E">
        <w:rPr>
          <w:rFonts w:ascii="Arial" w:hAnsi="Arial" w:cs="Arial"/>
          <w:b w:val="0"/>
          <w:lang w:val="es-ES_tradnl" w:eastAsia="es-ES"/>
        </w:rPr>
        <w:t xml:space="preserve"> </w:t>
      </w:r>
    </w:p>
    <w:p w14:paraId="1AF2DDC7" w14:textId="77777777" w:rsidR="001F0C2E" w:rsidRPr="00524DB3" w:rsidRDefault="001F0C2E" w:rsidP="004C6983">
      <w:pPr>
        <w:pStyle w:val="Ttulo1"/>
        <w:spacing w:line="276" w:lineRule="auto"/>
        <w:ind w:left="0"/>
        <w:jc w:val="both"/>
        <w:rPr>
          <w:rFonts w:ascii="Arial" w:hAnsi="Arial" w:cs="Arial"/>
          <w:b w:val="0"/>
          <w:bCs w:val="0"/>
          <w:kern w:val="18"/>
          <w:lang w:val="es-MX"/>
        </w:rPr>
      </w:pPr>
    </w:p>
    <w:p w14:paraId="5CE81408" w14:textId="2FEB2BCB" w:rsidR="0000088C" w:rsidRPr="00524DB3" w:rsidRDefault="00C2648E" w:rsidP="00524DB3">
      <w:pPr>
        <w:pStyle w:val="Ttulo1"/>
        <w:spacing w:line="276" w:lineRule="auto"/>
        <w:ind w:left="0"/>
        <w:jc w:val="both"/>
        <w:rPr>
          <w:rFonts w:ascii="Arial" w:hAnsi="Arial" w:cs="Arial"/>
          <w:b w:val="0"/>
          <w:lang w:val="es-ES_tradnl" w:eastAsia="es-ES"/>
        </w:rPr>
      </w:pPr>
      <w:r>
        <w:rPr>
          <w:rFonts w:ascii="Arial" w:hAnsi="Arial" w:cs="Arial"/>
          <w:bCs w:val="0"/>
          <w:kern w:val="18"/>
          <w:lang w:val="es-MX"/>
        </w:rPr>
        <w:t>6</w:t>
      </w:r>
      <w:r w:rsidR="0000088C" w:rsidRPr="00524DB3">
        <w:rPr>
          <w:rFonts w:ascii="Arial" w:hAnsi="Arial" w:cs="Arial"/>
          <w:b w:val="0"/>
          <w:bCs w:val="0"/>
          <w:kern w:val="18"/>
          <w:lang w:val="es-MX"/>
        </w:rPr>
        <w:t xml:space="preserve">. </w:t>
      </w:r>
      <w:r w:rsidR="0000088C" w:rsidRPr="00524DB3">
        <w:rPr>
          <w:rFonts w:ascii="Arial" w:hAnsi="Arial" w:cs="Arial"/>
          <w:lang w:eastAsia="es-ES"/>
        </w:rPr>
        <w:t xml:space="preserve">APROBACIÓN DE LA MATRIZ DE INDICADORES PARA RESULTADOS Y EL ANTEPROYECTO DE PRESUPUESTO DE EGRESOS, PARA EL EJERCICIO DEL AÑO DOS MIL VEINTITRÉS, RELATIVO AL PROCESO ELECTORAL </w:t>
      </w:r>
      <w:r w:rsidR="00776CEF">
        <w:rPr>
          <w:rFonts w:ascii="Arial" w:hAnsi="Arial" w:cs="Arial"/>
          <w:lang w:eastAsia="es-ES"/>
        </w:rPr>
        <w:t xml:space="preserve">CONCURRENTE </w:t>
      </w:r>
      <w:r w:rsidR="0000088C" w:rsidRPr="00524DB3">
        <w:rPr>
          <w:rFonts w:ascii="Arial" w:hAnsi="Arial" w:cs="Arial"/>
          <w:lang w:eastAsia="es-ES"/>
        </w:rPr>
        <w:t xml:space="preserve">2023-2024. </w:t>
      </w:r>
      <w:r w:rsidR="0000088C" w:rsidRPr="00524DB3">
        <w:rPr>
          <w:rFonts w:ascii="Arial" w:hAnsi="Arial" w:cs="Arial"/>
          <w:b w:val="0"/>
          <w:lang w:eastAsia="es-ES"/>
        </w:rPr>
        <w:t>E</w:t>
      </w:r>
      <w:r w:rsidR="0000088C" w:rsidRPr="00524DB3">
        <w:rPr>
          <w:rFonts w:ascii="Arial" w:hAnsi="Arial" w:cs="Arial"/>
          <w:b w:val="0"/>
          <w:lang w:val="es-ES_tradnl" w:eastAsia="es-ES"/>
        </w:rPr>
        <w:t xml:space="preserve">l veintisiete de julio, el Consejo General de este Instituto, mediante acuerdo IEPC-ACG-046/2022, aprobó la </w:t>
      </w:r>
      <w:r w:rsidR="00776CEF">
        <w:rPr>
          <w:rFonts w:ascii="Arial" w:hAnsi="Arial" w:cs="Arial"/>
          <w:b w:val="0"/>
          <w:lang w:val="es-ES_tradnl" w:eastAsia="es-ES"/>
        </w:rPr>
        <w:t>M</w:t>
      </w:r>
      <w:r w:rsidR="0000088C" w:rsidRPr="00524DB3">
        <w:rPr>
          <w:rFonts w:ascii="Arial" w:hAnsi="Arial" w:cs="Arial"/>
          <w:b w:val="0"/>
          <w:lang w:val="es-ES_tradnl" w:eastAsia="es-ES"/>
        </w:rPr>
        <w:t xml:space="preserve">atriz de </w:t>
      </w:r>
      <w:r w:rsidR="00776CEF">
        <w:rPr>
          <w:rFonts w:ascii="Arial" w:hAnsi="Arial" w:cs="Arial"/>
          <w:b w:val="0"/>
          <w:lang w:val="es-ES_tradnl" w:eastAsia="es-ES"/>
        </w:rPr>
        <w:t>I</w:t>
      </w:r>
      <w:r w:rsidR="0000088C" w:rsidRPr="00524DB3">
        <w:rPr>
          <w:rFonts w:ascii="Arial" w:hAnsi="Arial" w:cs="Arial"/>
          <w:b w:val="0"/>
          <w:lang w:val="es-ES_tradnl" w:eastAsia="es-ES"/>
        </w:rPr>
        <w:t xml:space="preserve">ndicadores para </w:t>
      </w:r>
      <w:r w:rsidR="00776CEF">
        <w:rPr>
          <w:rFonts w:ascii="Arial" w:hAnsi="Arial" w:cs="Arial"/>
          <w:b w:val="0"/>
          <w:lang w:val="es-ES_tradnl" w:eastAsia="es-ES"/>
        </w:rPr>
        <w:t>R</w:t>
      </w:r>
      <w:r w:rsidR="0000088C" w:rsidRPr="00524DB3">
        <w:rPr>
          <w:rFonts w:ascii="Arial" w:hAnsi="Arial" w:cs="Arial"/>
          <w:b w:val="0"/>
          <w:lang w:val="es-ES_tradnl" w:eastAsia="es-ES"/>
        </w:rPr>
        <w:t xml:space="preserve">esultados y el anteproyecto de presupuesto de egresos del Instituto Electoral y de Participación Ciudadana del Estado de Jalisco, relativo al </w:t>
      </w:r>
      <w:r w:rsidR="00776CEF">
        <w:rPr>
          <w:rFonts w:ascii="Arial" w:hAnsi="Arial" w:cs="Arial"/>
          <w:b w:val="0"/>
          <w:lang w:val="es-ES_tradnl" w:eastAsia="es-ES"/>
        </w:rPr>
        <w:t>P</w:t>
      </w:r>
      <w:r w:rsidR="0000088C" w:rsidRPr="00524DB3">
        <w:rPr>
          <w:rFonts w:ascii="Arial" w:hAnsi="Arial" w:cs="Arial"/>
          <w:b w:val="0"/>
          <w:lang w:val="es-ES_tradnl" w:eastAsia="es-ES"/>
        </w:rPr>
        <w:t xml:space="preserve">roceso </w:t>
      </w:r>
      <w:r w:rsidR="00776CEF">
        <w:rPr>
          <w:rFonts w:ascii="Arial" w:hAnsi="Arial" w:cs="Arial"/>
          <w:b w:val="0"/>
          <w:lang w:val="es-ES_tradnl" w:eastAsia="es-ES"/>
        </w:rPr>
        <w:t>E</w:t>
      </w:r>
      <w:r w:rsidR="0000088C" w:rsidRPr="00524DB3">
        <w:rPr>
          <w:rFonts w:ascii="Arial" w:hAnsi="Arial" w:cs="Arial"/>
          <w:b w:val="0"/>
          <w:lang w:val="es-ES_tradnl" w:eastAsia="es-ES"/>
        </w:rPr>
        <w:t xml:space="preserve">lectoral </w:t>
      </w:r>
      <w:r w:rsidR="00776CEF">
        <w:rPr>
          <w:rFonts w:ascii="Arial" w:hAnsi="Arial" w:cs="Arial"/>
          <w:b w:val="0"/>
          <w:lang w:val="es-ES_tradnl" w:eastAsia="es-ES"/>
        </w:rPr>
        <w:t xml:space="preserve">Concurrente </w:t>
      </w:r>
      <w:r w:rsidR="0000088C" w:rsidRPr="00524DB3">
        <w:rPr>
          <w:rFonts w:ascii="Arial" w:hAnsi="Arial" w:cs="Arial"/>
          <w:b w:val="0"/>
          <w:lang w:val="es-ES_tradnl" w:eastAsia="es-ES"/>
        </w:rPr>
        <w:t>2023-2024</w:t>
      </w:r>
      <w:r w:rsidR="00776CEF">
        <w:rPr>
          <w:rFonts w:ascii="Arial" w:hAnsi="Arial" w:cs="Arial"/>
          <w:b w:val="0"/>
          <w:lang w:val="es-ES_tradnl" w:eastAsia="es-ES"/>
        </w:rPr>
        <w:t>,</w:t>
      </w:r>
      <w:r w:rsidR="0000088C" w:rsidRPr="00524DB3">
        <w:rPr>
          <w:rFonts w:ascii="Arial" w:hAnsi="Arial" w:cs="Arial"/>
          <w:b w:val="0"/>
          <w:lang w:val="es-ES_tradnl" w:eastAsia="es-ES"/>
        </w:rPr>
        <w:t xml:space="preserve"> para el ejercicio del año dos mil veintitrés.</w:t>
      </w:r>
    </w:p>
    <w:p w14:paraId="75333686" w14:textId="77777777" w:rsidR="00AF10C8" w:rsidRPr="00524DB3" w:rsidRDefault="00AF10C8" w:rsidP="00524DB3">
      <w:pPr>
        <w:pStyle w:val="Prrafodelista"/>
        <w:tabs>
          <w:tab w:val="left" w:pos="567"/>
        </w:tabs>
        <w:spacing w:line="276" w:lineRule="auto"/>
        <w:ind w:left="0"/>
        <w:jc w:val="both"/>
        <w:rPr>
          <w:rFonts w:ascii="Arial" w:hAnsi="Arial" w:cs="Arial"/>
          <w:b/>
          <w:bCs/>
          <w:kern w:val="18"/>
          <w:lang w:val="es-MX"/>
        </w:rPr>
      </w:pPr>
    </w:p>
    <w:p w14:paraId="1A548104" w14:textId="736D7DE6" w:rsidR="0000088C" w:rsidRPr="00524DB3" w:rsidRDefault="00A20D15" w:rsidP="00524DB3">
      <w:pPr>
        <w:pStyle w:val="Prrafodelista"/>
        <w:tabs>
          <w:tab w:val="left" w:pos="567"/>
        </w:tabs>
        <w:spacing w:line="276" w:lineRule="auto"/>
        <w:ind w:left="0"/>
        <w:jc w:val="both"/>
        <w:rPr>
          <w:rFonts w:ascii="Arial" w:eastAsia="Trebuchet MS" w:hAnsi="Arial" w:cs="Arial"/>
          <w:bCs/>
          <w:lang w:eastAsia="es-ES"/>
        </w:rPr>
      </w:pPr>
      <w:r w:rsidRPr="00524DB3">
        <w:rPr>
          <w:rFonts w:ascii="Arial" w:hAnsi="Arial" w:cs="Arial"/>
          <w:b/>
          <w:bCs/>
          <w:kern w:val="18"/>
          <w:lang w:val="es-MX"/>
        </w:rPr>
        <w:t>7</w:t>
      </w:r>
      <w:r w:rsidR="0000088C" w:rsidRPr="00524DB3">
        <w:rPr>
          <w:rFonts w:ascii="Arial" w:hAnsi="Arial" w:cs="Arial"/>
          <w:b/>
          <w:bCs/>
          <w:kern w:val="18"/>
          <w:lang w:val="es-MX"/>
        </w:rPr>
        <w:t>.</w:t>
      </w:r>
      <w:r w:rsidR="0000088C" w:rsidRPr="00524DB3">
        <w:rPr>
          <w:rFonts w:ascii="Arial" w:hAnsi="Arial" w:cs="Arial"/>
          <w:b/>
        </w:rPr>
        <w:t xml:space="preserve"> </w:t>
      </w:r>
      <w:r w:rsidR="0000088C" w:rsidRPr="00524DB3">
        <w:rPr>
          <w:rFonts w:ascii="Arial" w:eastAsia="Trebuchet MS" w:hAnsi="Arial" w:cs="Arial"/>
          <w:b/>
          <w:bCs/>
          <w:lang w:eastAsia="es-ES"/>
        </w:rPr>
        <w:t>APROBACIÓN DEL PRESUPUESTO DE EGRESOS DEL GOBIERNO DEL ESTADO DE JALISCO</w:t>
      </w:r>
      <w:r w:rsidR="00776CEF">
        <w:rPr>
          <w:rFonts w:ascii="Arial" w:eastAsia="Trebuchet MS" w:hAnsi="Arial" w:cs="Arial"/>
          <w:b/>
          <w:bCs/>
          <w:lang w:eastAsia="es-ES"/>
        </w:rPr>
        <w:t>,</w:t>
      </w:r>
      <w:r w:rsidR="0000088C" w:rsidRPr="00524DB3">
        <w:rPr>
          <w:rFonts w:ascii="Arial" w:eastAsia="Trebuchet MS" w:hAnsi="Arial" w:cs="Arial"/>
          <w:b/>
          <w:bCs/>
          <w:lang w:eastAsia="es-ES"/>
        </w:rPr>
        <w:t xml:space="preserve"> PARA EL AÑO DOS MIL VEINTITRÉS. </w:t>
      </w:r>
      <w:r w:rsidR="0000088C" w:rsidRPr="00524DB3">
        <w:rPr>
          <w:rFonts w:ascii="Arial" w:eastAsia="Trebuchet MS" w:hAnsi="Arial" w:cs="Arial"/>
          <w:bCs/>
          <w:lang w:eastAsia="es-ES"/>
        </w:rPr>
        <w:t>El veintidós de noviembre, el Congreso del Estado de Jalisco, mediante decreto 29116/LXIII/22, aprobó el presupuesto de egresos del Gobierno del Estado de Jalisco, mismo que incluyó el correspondiente para este organismo electoral</w:t>
      </w:r>
      <w:r w:rsidR="00776CEF">
        <w:rPr>
          <w:rFonts w:ascii="Arial" w:eastAsia="Trebuchet MS" w:hAnsi="Arial" w:cs="Arial"/>
          <w:bCs/>
          <w:lang w:eastAsia="es-ES"/>
        </w:rPr>
        <w:t>,</w:t>
      </w:r>
      <w:r w:rsidR="0000088C" w:rsidRPr="00524DB3">
        <w:rPr>
          <w:rFonts w:ascii="Arial" w:eastAsia="Trebuchet MS" w:hAnsi="Arial" w:cs="Arial"/>
          <w:bCs/>
          <w:lang w:eastAsia="es-ES"/>
        </w:rPr>
        <w:t xml:space="preserve"> a ejercer durante el año dos mil veintitrés. </w:t>
      </w:r>
    </w:p>
    <w:p w14:paraId="36E6492D" w14:textId="77777777" w:rsidR="0000088C" w:rsidRPr="00524DB3" w:rsidRDefault="0000088C" w:rsidP="00524DB3">
      <w:pPr>
        <w:pStyle w:val="Prrafodelista"/>
        <w:tabs>
          <w:tab w:val="left" w:pos="567"/>
        </w:tabs>
        <w:spacing w:line="276" w:lineRule="auto"/>
        <w:ind w:left="0"/>
        <w:jc w:val="both"/>
        <w:rPr>
          <w:rFonts w:ascii="Arial" w:hAnsi="Arial" w:cs="Arial"/>
          <w:b/>
          <w:bCs/>
          <w:kern w:val="18"/>
          <w:lang w:val="es-MX"/>
        </w:rPr>
      </w:pPr>
    </w:p>
    <w:p w14:paraId="7A46A285" w14:textId="370626C5" w:rsidR="00813CF0" w:rsidRPr="00524DB3" w:rsidRDefault="00A20D15" w:rsidP="00524DB3">
      <w:pPr>
        <w:spacing w:after="0"/>
        <w:jc w:val="both"/>
        <w:rPr>
          <w:rFonts w:ascii="Arial" w:hAnsi="Arial" w:cs="Arial"/>
          <w:bCs/>
          <w:sz w:val="24"/>
          <w:szCs w:val="24"/>
        </w:rPr>
      </w:pPr>
      <w:r w:rsidRPr="00524DB3">
        <w:rPr>
          <w:rFonts w:ascii="Arial" w:eastAsia="Trebuchet MS" w:hAnsi="Arial" w:cs="Arial"/>
          <w:b/>
          <w:bCs/>
          <w:sz w:val="24"/>
          <w:szCs w:val="24"/>
          <w:lang w:val="es-ES" w:eastAsia="es-ES"/>
        </w:rPr>
        <w:lastRenderedPageBreak/>
        <w:t>8</w:t>
      </w:r>
      <w:r w:rsidR="00813CF0" w:rsidRPr="00524DB3">
        <w:rPr>
          <w:rFonts w:ascii="Arial" w:eastAsia="Trebuchet MS" w:hAnsi="Arial" w:cs="Arial"/>
          <w:b/>
          <w:bCs/>
          <w:sz w:val="24"/>
          <w:szCs w:val="24"/>
          <w:lang w:val="es-ES" w:eastAsia="es-ES"/>
        </w:rPr>
        <w:t xml:space="preserve">. PUBLICACIÓN DEL PRESUPUESTO DE EGRESOS DEL GOBIERNO DEL ESTADO DE JALISCO, PARA EL AÑO DOS MIL VEINTITRÉS. </w:t>
      </w:r>
      <w:r w:rsidR="00813CF0" w:rsidRPr="00524DB3">
        <w:rPr>
          <w:rFonts w:ascii="Arial" w:eastAsia="Trebuchet MS" w:hAnsi="Arial" w:cs="Arial"/>
          <w:bCs/>
          <w:sz w:val="24"/>
          <w:szCs w:val="24"/>
          <w:lang w:val="es-ES" w:eastAsia="es-ES"/>
        </w:rPr>
        <w:t xml:space="preserve">El primero de diciembre, se publicó en el Periódico Oficial “El Estado de Jalisco” el decreto del presupuesto de egresos del Gobierno del Estado de Jalisco, </w:t>
      </w:r>
      <w:r w:rsidR="00813CF0" w:rsidRPr="00524DB3">
        <w:rPr>
          <w:rFonts w:ascii="Arial" w:hAnsi="Arial" w:cs="Arial"/>
          <w:bCs/>
          <w:sz w:val="24"/>
          <w:szCs w:val="24"/>
        </w:rPr>
        <w:t>cuyos anexos se publicaron el día trece del mismo mes, y en ellos se estableció el monto correspondiente al presupuesto de egresos de este organismo electoral para el ejercicio del año dos mil veintitrés.</w:t>
      </w:r>
    </w:p>
    <w:p w14:paraId="1D7156F3" w14:textId="77777777" w:rsidR="00813CF0" w:rsidRPr="00524DB3" w:rsidRDefault="00813CF0" w:rsidP="00524DB3">
      <w:pPr>
        <w:spacing w:after="0"/>
        <w:jc w:val="both"/>
        <w:rPr>
          <w:rFonts w:ascii="Arial" w:hAnsi="Arial" w:cs="Arial"/>
          <w:bCs/>
          <w:sz w:val="24"/>
          <w:szCs w:val="24"/>
        </w:rPr>
      </w:pPr>
    </w:p>
    <w:p w14:paraId="44053F8C" w14:textId="63BC1016" w:rsidR="00813CF0" w:rsidRPr="00524DB3" w:rsidRDefault="00A20D15" w:rsidP="00524DB3">
      <w:pPr>
        <w:tabs>
          <w:tab w:val="left" w:pos="1177"/>
        </w:tabs>
        <w:spacing w:after="0"/>
        <w:jc w:val="both"/>
        <w:rPr>
          <w:rFonts w:ascii="Arial" w:hAnsi="Arial" w:cs="Arial"/>
          <w:b/>
          <w:bCs/>
          <w:sz w:val="24"/>
          <w:szCs w:val="24"/>
        </w:rPr>
      </w:pPr>
      <w:r w:rsidRPr="00524DB3">
        <w:rPr>
          <w:rFonts w:ascii="Arial" w:hAnsi="Arial" w:cs="Arial"/>
          <w:b/>
          <w:bCs/>
          <w:sz w:val="24"/>
          <w:szCs w:val="24"/>
        </w:rPr>
        <w:t>9</w:t>
      </w:r>
      <w:r w:rsidR="00813CF0" w:rsidRPr="00524DB3">
        <w:rPr>
          <w:rFonts w:ascii="Arial" w:hAnsi="Arial" w:cs="Arial"/>
          <w:b/>
          <w:bCs/>
          <w:sz w:val="24"/>
          <w:szCs w:val="24"/>
        </w:rPr>
        <w:t xml:space="preserve">. APROBACIÓN </w:t>
      </w:r>
      <w:r w:rsidR="00B3529E" w:rsidRPr="00B3529E">
        <w:rPr>
          <w:rFonts w:ascii="Arial" w:hAnsi="Arial" w:cs="Arial"/>
          <w:b/>
          <w:bCs/>
          <w:sz w:val="24"/>
          <w:szCs w:val="24"/>
        </w:rPr>
        <w:t>EL PRESUPUESTO DE EGRESOS RELATIVO AL GASTO ORDINARIO; ASÍ COMO LA PLANTILLA DE PERSONAL DE ESTE ORGANISMO ELECTORAL, PARA EL EJERCICIO DEL AÑO DOS MIL VEINTITRÉS</w:t>
      </w:r>
      <w:r w:rsidR="00B3529E">
        <w:rPr>
          <w:rFonts w:ascii="Arial" w:hAnsi="Arial" w:cs="Arial"/>
          <w:b/>
          <w:bCs/>
          <w:sz w:val="24"/>
          <w:szCs w:val="24"/>
        </w:rPr>
        <w:t xml:space="preserve">. </w:t>
      </w:r>
      <w:r w:rsidR="00813CF0" w:rsidRPr="00524DB3">
        <w:rPr>
          <w:rFonts w:ascii="Arial" w:hAnsi="Arial" w:cs="Arial"/>
          <w:bCs/>
          <w:sz w:val="24"/>
          <w:szCs w:val="24"/>
        </w:rPr>
        <w:t>El quince de diciembre, mediante acuerdo IEPC-ACG-067/2022, el Consejo General de este Instituto aprobó el presupuesto de egresos relativo al gasto ordinario</w:t>
      </w:r>
      <w:r w:rsidR="00A51427">
        <w:rPr>
          <w:rFonts w:ascii="Arial" w:hAnsi="Arial" w:cs="Arial"/>
          <w:bCs/>
          <w:sz w:val="24"/>
          <w:szCs w:val="24"/>
        </w:rPr>
        <w:t>,</w:t>
      </w:r>
      <w:r w:rsidR="00A51427" w:rsidRPr="00A51427">
        <w:rPr>
          <w:rFonts w:ascii="Arial" w:hAnsi="Arial" w:cs="Arial"/>
          <w:bCs/>
          <w:sz w:val="24"/>
          <w:szCs w:val="24"/>
        </w:rPr>
        <w:t xml:space="preserve"> </w:t>
      </w:r>
      <w:r w:rsidR="00B3529E" w:rsidRPr="00B3529E">
        <w:rPr>
          <w:rFonts w:ascii="Arial" w:hAnsi="Arial" w:cs="Arial"/>
          <w:bCs/>
          <w:sz w:val="24"/>
          <w:szCs w:val="24"/>
        </w:rPr>
        <w:t>así como la plantilla de personal de este organismo electoral, para el ejercicio del año dos mil veintitrés</w:t>
      </w:r>
      <w:r w:rsidR="00A2496E">
        <w:rPr>
          <w:rFonts w:ascii="Arial" w:hAnsi="Arial" w:cs="Arial"/>
          <w:bCs/>
          <w:sz w:val="24"/>
          <w:szCs w:val="24"/>
        </w:rPr>
        <w:t>;</w:t>
      </w:r>
      <w:r w:rsidR="00A51427" w:rsidRPr="00A51427">
        <w:rPr>
          <w:rFonts w:ascii="Arial" w:hAnsi="Arial" w:cs="Arial"/>
          <w:bCs/>
          <w:sz w:val="24"/>
          <w:szCs w:val="24"/>
        </w:rPr>
        <w:t xml:space="preserve"> por la cantidad de $105´901,601 (ciento cinco millones novecientos un mil seiscientos un pesos 00/100 M.N.), conforme a lo autorizado en el decreto 29116/LXIII/22.</w:t>
      </w:r>
      <w:r w:rsidR="00813CF0" w:rsidRPr="00524DB3">
        <w:rPr>
          <w:rFonts w:ascii="Arial" w:hAnsi="Arial" w:cs="Arial"/>
          <w:bCs/>
          <w:sz w:val="24"/>
          <w:szCs w:val="24"/>
        </w:rPr>
        <w:t xml:space="preserve"> </w:t>
      </w:r>
    </w:p>
    <w:p w14:paraId="22991F92" w14:textId="77777777" w:rsidR="00813CF0" w:rsidRPr="00524DB3" w:rsidRDefault="00813CF0" w:rsidP="00524DB3">
      <w:pPr>
        <w:tabs>
          <w:tab w:val="left" w:pos="1177"/>
        </w:tabs>
        <w:spacing w:after="0"/>
        <w:jc w:val="both"/>
        <w:rPr>
          <w:rFonts w:ascii="Arial" w:hAnsi="Arial" w:cs="Arial"/>
          <w:b/>
          <w:bCs/>
          <w:sz w:val="24"/>
          <w:szCs w:val="24"/>
        </w:rPr>
      </w:pPr>
    </w:p>
    <w:p w14:paraId="22F0D865" w14:textId="62E244AC" w:rsidR="007D15BB" w:rsidRPr="00524DB3" w:rsidRDefault="007415C5" w:rsidP="00524DB3">
      <w:pPr>
        <w:tabs>
          <w:tab w:val="left" w:pos="1177"/>
        </w:tabs>
        <w:spacing w:after="0"/>
        <w:jc w:val="both"/>
        <w:rPr>
          <w:rFonts w:ascii="Arial" w:hAnsi="Arial" w:cs="Arial"/>
          <w:b/>
          <w:bCs/>
          <w:sz w:val="24"/>
          <w:szCs w:val="24"/>
        </w:rPr>
      </w:pPr>
      <w:r w:rsidRPr="00524DB3">
        <w:rPr>
          <w:rFonts w:ascii="Arial" w:hAnsi="Arial" w:cs="Arial"/>
          <w:b/>
          <w:bCs/>
          <w:sz w:val="24"/>
          <w:szCs w:val="24"/>
        </w:rPr>
        <w:t xml:space="preserve">CORRESPONDIENTES AL AÑO DOS MIL </w:t>
      </w:r>
      <w:r w:rsidR="00813CF0" w:rsidRPr="00524DB3">
        <w:rPr>
          <w:rFonts w:ascii="Arial" w:eastAsia="Times New Roman" w:hAnsi="Arial" w:cs="Arial"/>
          <w:b/>
          <w:kern w:val="2"/>
          <w:sz w:val="24"/>
          <w:szCs w:val="24"/>
          <w:lang w:eastAsia="ar-SA"/>
        </w:rPr>
        <w:t>VEINTITRÉS</w:t>
      </w:r>
      <w:r w:rsidRPr="00524DB3">
        <w:rPr>
          <w:rFonts w:ascii="Arial" w:hAnsi="Arial" w:cs="Arial"/>
          <w:b/>
          <w:bCs/>
          <w:sz w:val="24"/>
          <w:szCs w:val="24"/>
        </w:rPr>
        <w:t>.</w:t>
      </w:r>
    </w:p>
    <w:p w14:paraId="7B073FFC" w14:textId="77777777" w:rsidR="007415C5" w:rsidRPr="00524DB3" w:rsidRDefault="007415C5" w:rsidP="00524DB3">
      <w:pPr>
        <w:tabs>
          <w:tab w:val="left" w:pos="1177"/>
        </w:tabs>
        <w:spacing w:after="0"/>
        <w:jc w:val="both"/>
        <w:rPr>
          <w:rFonts w:ascii="Arial" w:hAnsi="Arial" w:cs="Arial"/>
          <w:bCs/>
          <w:sz w:val="24"/>
          <w:szCs w:val="24"/>
        </w:rPr>
      </w:pPr>
    </w:p>
    <w:p w14:paraId="2D250183" w14:textId="3E50F4E7" w:rsidR="005D5838" w:rsidRDefault="00A20D15" w:rsidP="00524DB3">
      <w:pPr>
        <w:pStyle w:val="Prrafodelista"/>
        <w:tabs>
          <w:tab w:val="left" w:pos="567"/>
        </w:tabs>
        <w:spacing w:line="276" w:lineRule="auto"/>
        <w:ind w:left="0"/>
        <w:jc w:val="both"/>
        <w:rPr>
          <w:rFonts w:ascii="Arial" w:hAnsi="Arial" w:cs="Arial"/>
          <w:b/>
          <w:bCs/>
          <w:lang w:val="es-MX"/>
        </w:rPr>
      </w:pPr>
      <w:r w:rsidRPr="00524DB3">
        <w:rPr>
          <w:rFonts w:ascii="Arial" w:hAnsi="Arial" w:cs="Arial"/>
          <w:b/>
          <w:bCs/>
          <w:lang w:val="es-MX"/>
        </w:rPr>
        <w:t>10</w:t>
      </w:r>
      <w:r w:rsidR="00CD62B1" w:rsidRPr="00524DB3">
        <w:rPr>
          <w:rFonts w:ascii="Arial" w:hAnsi="Arial" w:cs="Arial"/>
          <w:b/>
          <w:bCs/>
          <w:lang w:val="es-MX"/>
        </w:rPr>
        <w:t xml:space="preserve">. </w:t>
      </w:r>
      <w:r w:rsidR="00303856" w:rsidRPr="00524DB3">
        <w:rPr>
          <w:rFonts w:ascii="Arial" w:hAnsi="Arial" w:cs="Arial"/>
          <w:b/>
          <w:bCs/>
          <w:lang w:val="es-MX"/>
        </w:rPr>
        <w:t xml:space="preserve">REVISIÓN DE LA METODOLOGÍA DEL </w:t>
      </w:r>
      <w:bookmarkStart w:id="0" w:name="_Hlk124863467"/>
      <w:r w:rsidR="00303856" w:rsidRPr="00524DB3">
        <w:rPr>
          <w:rFonts w:ascii="Arial" w:hAnsi="Arial" w:cs="Arial"/>
          <w:b/>
          <w:bCs/>
          <w:lang w:val="es-MX"/>
        </w:rPr>
        <w:t xml:space="preserve">PROGRAMA ANUAL DE ADQUISICIONES, ARRENDAMIENTOS Y SERVICIOS PARA EL EJERCICIO FISCAL DEL AÑO DOS MIL </w:t>
      </w:r>
      <w:r w:rsidR="00303856" w:rsidRPr="00524DB3">
        <w:rPr>
          <w:rFonts w:ascii="Arial" w:eastAsia="Trebuchet MS" w:hAnsi="Arial" w:cs="Arial"/>
          <w:b/>
          <w:bCs/>
          <w:lang w:eastAsia="es-ES"/>
        </w:rPr>
        <w:t>VEINTITRÉS</w:t>
      </w:r>
      <w:bookmarkEnd w:id="0"/>
      <w:r w:rsidR="00303856" w:rsidRPr="00524DB3">
        <w:rPr>
          <w:rFonts w:ascii="Arial" w:eastAsia="Trebuchet MS" w:hAnsi="Arial" w:cs="Arial"/>
          <w:b/>
          <w:bCs/>
          <w:lang w:eastAsia="es-ES"/>
        </w:rPr>
        <w:t xml:space="preserve">. </w:t>
      </w:r>
      <w:r w:rsidR="00303856" w:rsidRPr="00524DB3">
        <w:rPr>
          <w:rFonts w:ascii="Arial" w:eastAsia="Trebuchet MS" w:hAnsi="Arial" w:cs="Arial"/>
          <w:bCs/>
          <w:lang w:eastAsia="es-ES"/>
        </w:rPr>
        <w:t>E</w:t>
      </w:r>
      <w:r w:rsidR="00303856" w:rsidRPr="00524DB3">
        <w:rPr>
          <w:rFonts w:ascii="Arial" w:hAnsi="Arial" w:cs="Arial"/>
          <w:bCs/>
          <w:lang w:val="es-MX"/>
        </w:rPr>
        <w:t>l</w:t>
      </w:r>
      <w:r w:rsidR="00303856" w:rsidRPr="00524DB3">
        <w:rPr>
          <w:rFonts w:ascii="Arial" w:hAnsi="Arial" w:cs="Arial"/>
          <w:b/>
          <w:bCs/>
          <w:lang w:val="es-MX"/>
        </w:rPr>
        <w:t xml:space="preserve"> </w:t>
      </w:r>
      <w:r w:rsidR="00776CEF">
        <w:rPr>
          <w:rFonts w:ascii="Arial" w:hAnsi="Arial" w:cs="Arial"/>
          <w:bCs/>
          <w:lang w:val="es-MX"/>
        </w:rPr>
        <w:t>cuatro</w:t>
      </w:r>
      <w:r w:rsidR="00303856" w:rsidRPr="00524DB3">
        <w:rPr>
          <w:rFonts w:ascii="Arial" w:hAnsi="Arial" w:cs="Arial"/>
          <w:bCs/>
          <w:lang w:val="es-MX"/>
        </w:rPr>
        <w:t xml:space="preserve"> de enero, la </w:t>
      </w:r>
      <w:r w:rsidR="00776CEF">
        <w:rPr>
          <w:rFonts w:ascii="Arial" w:hAnsi="Arial" w:cs="Arial"/>
          <w:bCs/>
          <w:lang w:val="es-MX"/>
        </w:rPr>
        <w:t>U</w:t>
      </w:r>
      <w:r w:rsidR="00303856" w:rsidRPr="00524DB3">
        <w:rPr>
          <w:rFonts w:ascii="Arial" w:hAnsi="Arial" w:cs="Arial"/>
          <w:bCs/>
          <w:lang w:val="es-MX"/>
        </w:rPr>
        <w:t xml:space="preserve">nidad </w:t>
      </w:r>
      <w:r w:rsidR="00776CEF">
        <w:rPr>
          <w:rFonts w:ascii="Arial" w:hAnsi="Arial" w:cs="Arial"/>
          <w:bCs/>
          <w:lang w:val="es-MX"/>
        </w:rPr>
        <w:t>C</w:t>
      </w:r>
      <w:r w:rsidR="00303856" w:rsidRPr="00524DB3">
        <w:rPr>
          <w:rFonts w:ascii="Arial" w:hAnsi="Arial" w:cs="Arial"/>
          <w:bCs/>
          <w:lang w:val="es-MX"/>
        </w:rPr>
        <w:t xml:space="preserve">entralizada de </w:t>
      </w:r>
      <w:r w:rsidR="00776CEF">
        <w:rPr>
          <w:rFonts w:ascii="Arial" w:hAnsi="Arial" w:cs="Arial"/>
          <w:bCs/>
          <w:lang w:val="es-MX"/>
        </w:rPr>
        <w:t>C</w:t>
      </w:r>
      <w:r w:rsidR="00303856" w:rsidRPr="00524DB3">
        <w:rPr>
          <w:rFonts w:ascii="Arial" w:hAnsi="Arial" w:cs="Arial"/>
          <w:bCs/>
          <w:lang w:val="es-MX"/>
        </w:rPr>
        <w:t xml:space="preserve">ompras remitió </w:t>
      </w:r>
      <w:r w:rsidR="0016560E">
        <w:rPr>
          <w:rFonts w:ascii="Arial" w:hAnsi="Arial" w:cs="Arial"/>
          <w:bCs/>
          <w:lang w:val="es-MX"/>
        </w:rPr>
        <w:t xml:space="preserve">por </w:t>
      </w:r>
      <w:r w:rsidR="00466323">
        <w:rPr>
          <w:rFonts w:ascii="Arial" w:hAnsi="Arial" w:cs="Arial"/>
          <w:bCs/>
          <w:lang w:val="es-MX"/>
        </w:rPr>
        <w:t xml:space="preserve">medio de </w:t>
      </w:r>
      <w:r w:rsidR="0016560E">
        <w:rPr>
          <w:rFonts w:ascii="Arial" w:hAnsi="Arial" w:cs="Arial"/>
          <w:bCs/>
          <w:lang w:val="es-MX"/>
        </w:rPr>
        <w:t xml:space="preserve">correo electrónico </w:t>
      </w:r>
      <w:r w:rsidR="00303856" w:rsidRPr="00524DB3">
        <w:rPr>
          <w:rFonts w:ascii="Arial" w:hAnsi="Arial" w:cs="Arial"/>
          <w:bCs/>
          <w:lang w:val="es-MX"/>
        </w:rPr>
        <w:t xml:space="preserve">al </w:t>
      </w:r>
      <w:r w:rsidR="00776CEF">
        <w:rPr>
          <w:rFonts w:ascii="Arial" w:hAnsi="Arial" w:cs="Arial"/>
          <w:bCs/>
          <w:lang w:val="es-MX"/>
        </w:rPr>
        <w:t>C</w:t>
      </w:r>
      <w:r w:rsidR="00303856" w:rsidRPr="00524DB3">
        <w:rPr>
          <w:rFonts w:ascii="Arial" w:hAnsi="Arial" w:cs="Arial"/>
          <w:bCs/>
          <w:lang w:val="es-MX"/>
        </w:rPr>
        <w:t xml:space="preserve">omité de </w:t>
      </w:r>
      <w:r w:rsidR="00776CEF">
        <w:rPr>
          <w:rFonts w:ascii="Arial" w:hAnsi="Arial" w:cs="Arial"/>
          <w:bCs/>
          <w:lang w:val="es-MX"/>
        </w:rPr>
        <w:t>A</w:t>
      </w:r>
      <w:r w:rsidR="00303856" w:rsidRPr="00524DB3">
        <w:rPr>
          <w:rFonts w:ascii="Arial" w:hAnsi="Arial" w:cs="Arial"/>
          <w:bCs/>
          <w:lang w:val="es-MX"/>
        </w:rPr>
        <w:t>dquisiciones y</w:t>
      </w:r>
      <w:r w:rsidR="0016560E">
        <w:rPr>
          <w:rFonts w:ascii="Arial" w:hAnsi="Arial" w:cs="Arial"/>
          <w:bCs/>
          <w:lang w:val="es-MX"/>
        </w:rPr>
        <w:t xml:space="preserve"> E</w:t>
      </w:r>
      <w:r w:rsidR="0016560E" w:rsidRPr="00524DB3">
        <w:rPr>
          <w:rFonts w:ascii="Arial" w:hAnsi="Arial" w:cs="Arial"/>
          <w:bCs/>
          <w:lang w:val="es-MX"/>
        </w:rPr>
        <w:t>najenac</w:t>
      </w:r>
      <w:r w:rsidR="0016560E">
        <w:rPr>
          <w:rFonts w:ascii="Arial" w:hAnsi="Arial" w:cs="Arial"/>
          <w:bCs/>
          <w:lang w:val="es-MX"/>
        </w:rPr>
        <w:t xml:space="preserve">iones </w:t>
      </w:r>
      <w:r w:rsidR="00303856" w:rsidRPr="00524DB3">
        <w:rPr>
          <w:rFonts w:ascii="Arial" w:hAnsi="Arial" w:cs="Arial"/>
          <w:bCs/>
          <w:lang w:val="es-MX"/>
        </w:rPr>
        <w:t xml:space="preserve">de este </w:t>
      </w:r>
      <w:r w:rsidR="006A231E" w:rsidRPr="00524DB3">
        <w:rPr>
          <w:rFonts w:ascii="Arial" w:hAnsi="Arial" w:cs="Arial"/>
          <w:bCs/>
          <w:lang w:val="es-MX"/>
        </w:rPr>
        <w:t>organismo</w:t>
      </w:r>
      <w:r w:rsidR="00303856" w:rsidRPr="00524DB3">
        <w:rPr>
          <w:rFonts w:ascii="Arial" w:hAnsi="Arial" w:cs="Arial"/>
          <w:bCs/>
          <w:lang w:val="es-MX"/>
        </w:rPr>
        <w:t xml:space="preserve"> electoral, la </w:t>
      </w:r>
      <w:r w:rsidR="00776CEF">
        <w:rPr>
          <w:rFonts w:ascii="Arial" w:hAnsi="Arial" w:cs="Arial"/>
          <w:bCs/>
          <w:lang w:val="es-MX"/>
        </w:rPr>
        <w:t>M</w:t>
      </w:r>
      <w:r w:rsidR="00303856" w:rsidRPr="00524DB3">
        <w:rPr>
          <w:rFonts w:ascii="Arial" w:hAnsi="Arial" w:cs="Arial"/>
          <w:bCs/>
          <w:lang w:val="es-MX"/>
        </w:rPr>
        <w:t xml:space="preserve">etodología y el Programa </w:t>
      </w:r>
      <w:r w:rsidR="00776CEF">
        <w:rPr>
          <w:rFonts w:ascii="Arial" w:hAnsi="Arial" w:cs="Arial"/>
          <w:bCs/>
          <w:lang w:val="es-MX"/>
        </w:rPr>
        <w:t>A</w:t>
      </w:r>
      <w:r w:rsidR="00303856" w:rsidRPr="00524DB3">
        <w:rPr>
          <w:rFonts w:ascii="Arial" w:hAnsi="Arial" w:cs="Arial"/>
          <w:bCs/>
          <w:lang w:val="es-MX"/>
        </w:rPr>
        <w:t xml:space="preserve">nual de </w:t>
      </w:r>
      <w:r w:rsidR="00776CEF">
        <w:rPr>
          <w:rFonts w:ascii="Arial" w:hAnsi="Arial" w:cs="Arial"/>
          <w:bCs/>
          <w:lang w:val="es-MX"/>
        </w:rPr>
        <w:t>A</w:t>
      </w:r>
      <w:r w:rsidR="00303856" w:rsidRPr="00524DB3">
        <w:rPr>
          <w:rFonts w:ascii="Arial" w:hAnsi="Arial" w:cs="Arial"/>
          <w:bCs/>
          <w:lang w:val="es-MX"/>
        </w:rPr>
        <w:t xml:space="preserve">dquisiciones, </w:t>
      </w:r>
      <w:r w:rsidR="00776CEF">
        <w:rPr>
          <w:rFonts w:ascii="Arial" w:hAnsi="Arial" w:cs="Arial"/>
          <w:bCs/>
          <w:lang w:val="es-MX"/>
        </w:rPr>
        <w:t>A</w:t>
      </w:r>
      <w:r w:rsidR="00303856" w:rsidRPr="00524DB3">
        <w:rPr>
          <w:rFonts w:ascii="Arial" w:hAnsi="Arial" w:cs="Arial"/>
          <w:bCs/>
          <w:lang w:val="es-MX"/>
        </w:rPr>
        <w:t xml:space="preserve">rrendamientos y </w:t>
      </w:r>
      <w:r w:rsidR="00776CEF">
        <w:rPr>
          <w:rFonts w:ascii="Arial" w:hAnsi="Arial" w:cs="Arial"/>
          <w:bCs/>
          <w:lang w:val="es-MX"/>
        </w:rPr>
        <w:t>S</w:t>
      </w:r>
      <w:r w:rsidR="00303856" w:rsidRPr="00524DB3">
        <w:rPr>
          <w:rFonts w:ascii="Arial" w:hAnsi="Arial" w:cs="Arial"/>
          <w:bCs/>
          <w:lang w:val="es-MX"/>
        </w:rPr>
        <w:t>ervicios</w:t>
      </w:r>
      <w:r w:rsidR="00776CEF">
        <w:rPr>
          <w:rFonts w:ascii="Arial" w:hAnsi="Arial" w:cs="Arial"/>
          <w:bCs/>
          <w:lang w:val="es-MX"/>
        </w:rPr>
        <w:t>,</w:t>
      </w:r>
      <w:r w:rsidR="00303856" w:rsidRPr="00524DB3">
        <w:rPr>
          <w:rFonts w:ascii="Arial" w:hAnsi="Arial" w:cs="Arial"/>
          <w:bCs/>
          <w:lang w:val="es-MX"/>
        </w:rPr>
        <w:t xml:space="preserve"> para el ejercicio fiscal del año dos mil </w:t>
      </w:r>
      <w:r w:rsidR="00303856" w:rsidRPr="00524DB3">
        <w:rPr>
          <w:rFonts w:ascii="Arial" w:eastAsia="Trebuchet MS" w:hAnsi="Arial" w:cs="Arial"/>
          <w:bCs/>
          <w:lang w:eastAsia="es-ES"/>
        </w:rPr>
        <w:t>veintitrés</w:t>
      </w:r>
      <w:r w:rsidR="00776CEF">
        <w:rPr>
          <w:rFonts w:ascii="Arial" w:eastAsia="Trebuchet MS" w:hAnsi="Arial" w:cs="Arial"/>
          <w:bCs/>
          <w:lang w:eastAsia="es-ES"/>
        </w:rPr>
        <w:t>,</w:t>
      </w:r>
      <w:r w:rsidR="00303856" w:rsidRPr="00524DB3">
        <w:rPr>
          <w:rFonts w:ascii="Arial" w:hAnsi="Arial" w:cs="Arial"/>
          <w:bCs/>
          <w:lang w:val="es-MX"/>
        </w:rPr>
        <w:t xml:space="preserve"> para su revisión y</w:t>
      </w:r>
      <w:r w:rsidR="00776CEF">
        <w:rPr>
          <w:rFonts w:ascii="Arial" w:hAnsi="Arial" w:cs="Arial"/>
          <w:bCs/>
          <w:lang w:val="es-MX"/>
        </w:rPr>
        <w:t>,</w:t>
      </w:r>
      <w:r w:rsidR="00303856" w:rsidRPr="00524DB3">
        <w:rPr>
          <w:rFonts w:ascii="Arial" w:hAnsi="Arial" w:cs="Arial"/>
          <w:bCs/>
          <w:lang w:val="es-MX"/>
        </w:rPr>
        <w:t xml:space="preserve"> en su caso</w:t>
      </w:r>
      <w:r w:rsidR="00776CEF">
        <w:rPr>
          <w:rFonts w:ascii="Arial" w:hAnsi="Arial" w:cs="Arial"/>
          <w:bCs/>
          <w:lang w:val="es-MX"/>
        </w:rPr>
        <w:t>,</w:t>
      </w:r>
      <w:r w:rsidR="00303856" w:rsidRPr="00524DB3">
        <w:rPr>
          <w:rFonts w:ascii="Arial" w:hAnsi="Arial" w:cs="Arial"/>
          <w:bCs/>
          <w:lang w:val="es-MX"/>
        </w:rPr>
        <w:t xml:space="preserve"> observaciones</w:t>
      </w:r>
      <w:r w:rsidR="00B96A5E">
        <w:rPr>
          <w:rFonts w:ascii="Arial" w:hAnsi="Arial" w:cs="Arial"/>
          <w:bCs/>
          <w:lang w:val="es-MX"/>
        </w:rPr>
        <w:t>;</w:t>
      </w:r>
      <w:r w:rsidR="0016560E">
        <w:rPr>
          <w:rFonts w:ascii="Arial" w:hAnsi="Arial" w:cs="Arial"/>
          <w:bCs/>
          <w:lang w:val="es-MX"/>
        </w:rPr>
        <w:t xml:space="preserve"> sin </w:t>
      </w:r>
      <w:r w:rsidR="0016560E" w:rsidRPr="004C6983">
        <w:rPr>
          <w:rFonts w:ascii="Arial" w:hAnsi="Arial" w:cs="Arial"/>
          <w:kern w:val="18"/>
          <w:lang w:eastAsia="es-ES"/>
        </w:rPr>
        <w:t>que se haya realizado observación alguna que motivara a dicha metodología.</w:t>
      </w:r>
    </w:p>
    <w:p w14:paraId="4B24C390" w14:textId="77777777" w:rsidR="005D5838" w:rsidRDefault="005D5838" w:rsidP="00524DB3">
      <w:pPr>
        <w:pStyle w:val="Prrafodelista"/>
        <w:tabs>
          <w:tab w:val="left" w:pos="567"/>
        </w:tabs>
        <w:spacing w:line="276" w:lineRule="auto"/>
        <w:ind w:left="0"/>
        <w:jc w:val="both"/>
        <w:rPr>
          <w:rFonts w:ascii="Arial" w:hAnsi="Arial" w:cs="Arial"/>
          <w:b/>
          <w:bCs/>
          <w:lang w:val="es-MX"/>
        </w:rPr>
      </w:pPr>
    </w:p>
    <w:p w14:paraId="472D1300" w14:textId="2D352293" w:rsidR="00052A23" w:rsidRPr="00524DB3" w:rsidRDefault="00A20D15" w:rsidP="00524DB3">
      <w:pPr>
        <w:pStyle w:val="Prrafodelista"/>
        <w:tabs>
          <w:tab w:val="left" w:pos="567"/>
        </w:tabs>
        <w:spacing w:line="276" w:lineRule="auto"/>
        <w:ind w:left="0"/>
        <w:jc w:val="both"/>
        <w:rPr>
          <w:rFonts w:ascii="Arial" w:hAnsi="Arial" w:cs="Arial"/>
          <w:lang w:val="es-MX"/>
        </w:rPr>
      </w:pPr>
      <w:r w:rsidRPr="00524DB3">
        <w:rPr>
          <w:rFonts w:ascii="Arial" w:hAnsi="Arial" w:cs="Arial"/>
          <w:b/>
          <w:bCs/>
          <w:lang w:val="es-MX"/>
        </w:rPr>
        <w:t>11</w:t>
      </w:r>
      <w:r w:rsidR="007D6808" w:rsidRPr="00524DB3">
        <w:rPr>
          <w:rFonts w:ascii="Arial" w:hAnsi="Arial" w:cs="Arial"/>
          <w:b/>
          <w:bCs/>
          <w:lang w:val="es-MX"/>
        </w:rPr>
        <w:t xml:space="preserve">. </w:t>
      </w:r>
      <w:r w:rsidR="00BC0FC1" w:rsidRPr="00524DB3">
        <w:rPr>
          <w:rFonts w:ascii="Arial" w:hAnsi="Arial" w:cs="Arial"/>
          <w:b/>
          <w:bCs/>
          <w:lang w:val="es-MX"/>
        </w:rPr>
        <w:t xml:space="preserve">COMUNICACIÓN DEL DIRECTOR </w:t>
      </w:r>
      <w:r w:rsidR="007D6808" w:rsidRPr="00524DB3">
        <w:rPr>
          <w:rFonts w:ascii="Arial" w:hAnsi="Arial" w:cs="Arial"/>
          <w:b/>
          <w:bCs/>
          <w:lang w:val="es-MX"/>
        </w:rPr>
        <w:t xml:space="preserve">EJECUTIVO DE </w:t>
      </w:r>
      <w:r w:rsidR="00BC0FC1" w:rsidRPr="00524DB3">
        <w:rPr>
          <w:rFonts w:ascii="Arial" w:hAnsi="Arial" w:cs="Arial"/>
          <w:b/>
          <w:bCs/>
          <w:lang w:val="es-MX"/>
        </w:rPr>
        <w:t xml:space="preserve">ADMINISTRACIÓN </w:t>
      </w:r>
      <w:r w:rsidR="007D6808" w:rsidRPr="00524DB3">
        <w:rPr>
          <w:rFonts w:ascii="Arial" w:hAnsi="Arial" w:cs="Arial"/>
          <w:b/>
          <w:bCs/>
          <w:lang w:val="es-MX"/>
        </w:rPr>
        <w:t>E INNOVACIÓN DE ESTE INSTITUTO</w:t>
      </w:r>
      <w:r w:rsidR="00BC0FC1" w:rsidRPr="00524DB3">
        <w:rPr>
          <w:rFonts w:ascii="Arial" w:hAnsi="Arial" w:cs="Arial"/>
          <w:b/>
          <w:bCs/>
          <w:lang w:val="es-MX"/>
        </w:rPr>
        <w:t xml:space="preserve">. </w:t>
      </w:r>
      <w:r w:rsidR="00BC0FC1" w:rsidRPr="00524DB3">
        <w:rPr>
          <w:rFonts w:ascii="Arial" w:hAnsi="Arial" w:cs="Arial"/>
          <w:bCs/>
          <w:lang w:val="es-MX"/>
        </w:rPr>
        <w:t xml:space="preserve">El </w:t>
      </w:r>
      <w:r w:rsidR="00776CEF">
        <w:rPr>
          <w:rFonts w:ascii="Arial" w:hAnsi="Arial" w:cs="Arial"/>
          <w:bCs/>
          <w:lang w:val="es-MX"/>
        </w:rPr>
        <w:t>diez</w:t>
      </w:r>
      <w:r w:rsidR="00BC0FC1" w:rsidRPr="00524DB3">
        <w:rPr>
          <w:rFonts w:ascii="Arial" w:hAnsi="Arial" w:cs="Arial"/>
          <w:bCs/>
          <w:lang w:val="es-MX"/>
        </w:rPr>
        <w:t xml:space="preserve"> de enero, el director </w:t>
      </w:r>
      <w:r w:rsidR="00B47E26" w:rsidRPr="00524DB3">
        <w:rPr>
          <w:rFonts w:ascii="Arial" w:hAnsi="Arial" w:cs="Arial"/>
          <w:bCs/>
          <w:lang w:val="es-MX"/>
        </w:rPr>
        <w:t xml:space="preserve">ejecutivo </w:t>
      </w:r>
      <w:r w:rsidR="00BC0FC1" w:rsidRPr="00524DB3">
        <w:rPr>
          <w:rFonts w:ascii="Arial" w:hAnsi="Arial" w:cs="Arial"/>
          <w:bCs/>
          <w:lang w:val="es-MX"/>
        </w:rPr>
        <w:t xml:space="preserve">de Administración </w:t>
      </w:r>
      <w:r w:rsidR="00B47E26" w:rsidRPr="00524DB3">
        <w:rPr>
          <w:rFonts w:ascii="Arial" w:hAnsi="Arial" w:cs="Arial"/>
          <w:bCs/>
          <w:lang w:val="es-MX"/>
        </w:rPr>
        <w:t>e Innovación de este Instituto</w:t>
      </w:r>
      <w:r w:rsidR="00BC0FC1" w:rsidRPr="00524DB3">
        <w:rPr>
          <w:rFonts w:ascii="Arial" w:hAnsi="Arial" w:cs="Arial"/>
          <w:bCs/>
          <w:lang w:val="es-MX"/>
        </w:rPr>
        <w:t>, mediante memorándum</w:t>
      </w:r>
      <w:r w:rsidR="00784E02" w:rsidRPr="00524DB3">
        <w:rPr>
          <w:rFonts w:ascii="Arial" w:hAnsi="Arial" w:cs="Arial"/>
          <w:bCs/>
          <w:lang w:val="es-MX"/>
        </w:rPr>
        <w:t xml:space="preserve"> 002/2023</w:t>
      </w:r>
      <w:r w:rsidR="00776CEF">
        <w:rPr>
          <w:rFonts w:ascii="Arial" w:hAnsi="Arial" w:cs="Arial"/>
          <w:bCs/>
          <w:lang w:val="es-MX"/>
        </w:rPr>
        <w:t>,</w:t>
      </w:r>
      <w:r w:rsidR="00C74830" w:rsidRPr="00524DB3">
        <w:rPr>
          <w:rFonts w:ascii="Arial" w:hAnsi="Arial" w:cs="Arial"/>
          <w:bCs/>
          <w:lang w:val="es-MX"/>
        </w:rPr>
        <w:t xml:space="preserve"> </w:t>
      </w:r>
      <w:r w:rsidR="00BC0FC1" w:rsidRPr="00524DB3">
        <w:rPr>
          <w:rFonts w:ascii="Arial" w:hAnsi="Arial" w:cs="Arial"/>
          <w:bCs/>
          <w:lang w:val="es-MX"/>
        </w:rPr>
        <w:t xml:space="preserve">remitió a la Secretaría </w:t>
      </w:r>
      <w:r w:rsidR="00B47E26" w:rsidRPr="00524DB3">
        <w:rPr>
          <w:rFonts w:ascii="Arial" w:hAnsi="Arial" w:cs="Arial"/>
          <w:bCs/>
          <w:lang w:val="es-MX"/>
        </w:rPr>
        <w:t>E</w:t>
      </w:r>
      <w:r w:rsidR="00C74830" w:rsidRPr="00524DB3">
        <w:rPr>
          <w:rFonts w:ascii="Arial" w:hAnsi="Arial" w:cs="Arial"/>
          <w:bCs/>
          <w:lang w:val="es-MX"/>
        </w:rPr>
        <w:t xml:space="preserve">jecutiva, la propuesta del </w:t>
      </w:r>
      <w:r w:rsidR="00BC0FC1" w:rsidRPr="00524DB3">
        <w:rPr>
          <w:rFonts w:ascii="Arial" w:hAnsi="Arial" w:cs="Arial"/>
          <w:bCs/>
          <w:lang w:val="es-MX"/>
        </w:rPr>
        <w:t xml:space="preserve">Programa </w:t>
      </w:r>
      <w:r w:rsidR="003732D6">
        <w:rPr>
          <w:rFonts w:ascii="Arial" w:hAnsi="Arial" w:cs="Arial"/>
          <w:bCs/>
          <w:lang w:val="es-MX"/>
        </w:rPr>
        <w:t>A</w:t>
      </w:r>
      <w:r w:rsidR="00BC0FC1" w:rsidRPr="00524DB3">
        <w:rPr>
          <w:rFonts w:ascii="Arial" w:hAnsi="Arial" w:cs="Arial"/>
          <w:bCs/>
          <w:lang w:val="es-MX"/>
        </w:rPr>
        <w:t xml:space="preserve">nual de </w:t>
      </w:r>
      <w:r w:rsidR="003732D6">
        <w:rPr>
          <w:rFonts w:ascii="Arial" w:hAnsi="Arial" w:cs="Arial"/>
          <w:bCs/>
          <w:lang w:val="es-MX"/>
        </w:rPr>
        <w:t>A</w:t>
      </w:r>
      <w:r w:rsidR="00BC0FC1" w:rsidRPr="00524DB3">
        <w:rPr>
          <w:rFonts w:ascii="Arial" w:hAnsi="Arial" w:cs="Arial"/>
          <w:bCs/>
          <w:lang w:val="es-MX"/>
        </w:rPr>
        <w:t xml:space="preserve">dquisiciones, </w:t>
      </w:r>
      <w:r w:rsidR="003732D6">
        <w:rPr>
          <w:rFonts w:ascii="Arial" w:hAnsi="Arial" w:cs="Arial"/>
          <w:bCs/>
          <w:lang w:val="es-MX"/>
        </w:rPr>
        <w:t>A</w:t>
      </w:r>
      <w:r w:rsidR="00BC0FC1" w:rsidRPr="00524DB3">
        <w:rPr>
          <w:rFonts w:ascii="Arial" w:hAnsi="Arial" w:cs="Arial"/>
          <w:bCs/>
          <w:lang w:val="es-MX"/>
        </w:rPr>
        <w:t xml:space="preserve">rrendamientos y </w:t>
      </w:r>
      <w:r w:rsidR="003732D6">
        <w:rPr>
          <w:rFonts w:ascii="Arial" w:hAnsi="Arial" w:cs="Arial"/>
          <w:bCs/>
          <w:lang w:val="es-MX"/>
        </w:rPr>
        <w:t>S</w:t>
      </w:r>
      <w:r w:rsidR="00BC0FC1" w:rsidRPr="00524DB3">
        <w:rPr>
          <w:rFonts w:ascii="Arial" w:hAnsi="Arial" w:cs="Arial"/>
          <w:bCs/>
          <w:lang w:val="es-MX"/>
        </w:rPr>
        <w:t xml:space="preserve">ervicios </w:t>
      </w:r>
      <w:r w:rsidR="00FA701C">
        <w:rPr>
          <w:rFonts w:ascii="Arial" w:hAnsi="Arial" w:cs="Arial"/>
          <w:bCs/>
          <w:lang w:val="es-MX"/>
        </w:rPr>
        <w:t xml:space="preserve">de este organismo electoral, </w:t>
      </w:r>
      <w:r w:rsidR="00BC0FC1" w:rsidRPr="00524DB3">
        <w:rPr>
          <w:rFonts w:ascii="Arial" w:hAnsi="Arial" w:cs="Arial"/>
          <w:bCs/>
          <w:lang w:val="es-MX"/>
        </w:rPr>
        <w:t>para el ejercicio</w:t>
      </w:r>
      <w:r w:rsidR="00B21FF7" w:rsidRPr="00524DB3">
        <w:rPr>
          <w:rFonts w:ascii="Arial" w:hAnsi="Arial" w:cs="Arial"/>
          <w:bCs/>
          <w:lang w:val="es-MX"/>
        </w:rPr>
        <w:t xml:space="preserve"> fiscal del año</w:t>
      </w:r>
      <w:r w:rsidR="00BC0FC1" w:rsidRPr="00524DB3">
        <w:rPr>
          <w:rFonts w:ascii="Arial" w:hAnsi="Arial" w:cs="Arial"/>
          <w:bCs/>
          <w:lang w:val="es-MX"/>
        </w:rPr>
        <w:t xml:space="preserve"> dos mil </w:t>
      </w:r>
      <w:r w:rsidR="00895232" w:rsidRPr="00524DB3">
        <w:rPr>
          <w:rFonts w:ascii="Arial" w:eastAsia="Trebuchet MS" w:hAnsi="Arial" w:cs="Arial"/>
          <w:bCs/>
          <w:lang w:eastAsia="es-ES"/>
        </w:rPr>
        <w:t>veintitrés</w:t>
      </w:r>
      <w:r w:rsidR="00BC0FC1" w:rsidRPr="00524DB3">
        <w:rPr>
          <w:rFonts w:ascii="Arial" w:hAnsi="Arial" w:cs="Arial"/>
          <w:bCs/>
          <w:lang w:val="es-MX"/>
        </w:rPr>
        <w:t>.</w:t>
      </w:r>
    </w:p>
    <w:p w14:paraId="273ECD21" w14:textId="77777777" w:rsidR="00052A23" w:rsidRPr="00524DB3" w:rsidRDefault="00052A23" w:rsidP="00524DB3">
      <w:pPr>
        <w:pStyle w:val="Prrafodelista"/>
        <w:tabs>
          <w:tab w:val="left" w:pos="567"/>
        </w:tabs>
        <w:spacing w:line="276" w:lineRule="auto"/>
        <w:ind w:left="0"/>
        <w:jc w:val="both"/>
        <w:rPr>
          <w:rFonts w:ascii="Arial" w:hAnsi="Arial" w:cs="Arial"/>
          <w:b/>
          <w:bCs/>
          <w:lang w:val="es-MX"/>
        </w:rPr>
      </w:pPr>
    </w:p>
    <w:p w14:paraId="2F503492" w14:textId="77777777" w:rsidR="002B2040" w:rsidRPr="00524DB3" w:rsidRDefault="002B2040" w:rsidP="00524DB3">
      <w:pPr>
        <w:spacing w:after="0"/>
        <w:jc w:val="center"/>
        <w:rPr>
          <w:rFonts w:ascii="Arial" w:eastAsia="Times New Roman" w:hAnsi="Arial" w:cs="Arial"/>
          <w:b/>
          <w:sz w:val="24"/>
          <w:szCs w:val="24"/>
          <w:lang w:eastAsia="es-ES"/>
        </w:rPr>
      </w:pPr>
      <w:r w:rsidRPr="00524DB3">
        <w:rPr>
          <w:rFonts w:ascii="Arial" w:eastAsia="Times New Roman" w:hAnsi="Arial" w:cs="Arial"/>
          <w:b/>
          <w:sz w:val="24"/>
          <w:szCs w:val="24"/>
          <w:lang w:eastAsia="es-ES"/>
        </w:rPr>
        <w:t xml:space="preserve">C O N S I D E R A N D O </w:t>
      </w:r>
    </w:p>
    <w:p w14:paraId="32FD86C1" w14:textId="77777777" w:rsidR="006B1861" w:rsidRPr="00524DB3" w:rsidRDefault="006B1861" w:rsidP="00524DB3">
      <w:pPr>
        <w:spacing w:after="0"/>
        <w:jc w:val="center"/>
        <w:rPr>
          <w:rFonts w:ascii="Arial" w:eastAsia="Times New Roman" w:hAnsi="Arial" w:cs="Arial"/>
          <w:b/>
          <w:sz w:val="24"/>
          <w:szCs w:val="24"/>
          <w:lang w:eastAsia="es-ES"/>
        </w:rPr>
      </w:pPr>
    </w:p>
    <w:p w14:paraId="4327590E" w14:textId="247A73D7" w:rsidR="00EA1B23" w:rsidRPr="00524DB3" w:rsidRDefault="00EA1B23" w:rsidP="00524DB3">
      <w:pPr>
        <w:spacing w:after="0"/>
        <w:jc w:val="both"/>
        <w:rPr>
          <w:rFonts w:ascii="Arial" w:hAnsi="Arial" w:cs="Arial"/>
          <w:bCs/>
          <w:sz w:val="24"/>
          <w:szCs w:val="24"/>
        </w:rPr>
      </w:pPr>
      <w:r w:rsidRPr="00524DB3">
        <w:rPr>
          <w:rFonts w:ascii="Arial" w:hAnsi="Arial" w:cs="Arial"/>
          <w:b/>
          <w:sz w:val="24"/>
          <w:szCs w:val="24"/>
        </w:rPr>
        <w:t xml:space="preserve">I. DEL INSTITUTO ELECTORAL Y DE PARTICIPACIÓN CIUDADANA DEL ESTADO DE JALISCO. </w:t>
      </w:r>
      <w:r w:rsidR="003732D6">
        <w:rPr>
          <w:rFonts w:ascii="Arial" w:hAnsi="Arial" w:cs="Arial"/>
          <w:sz w:val="24"/>
          <w:szCs w:val="24"/>
          <w:lang w:eastAsia="ar-SA"/>
        </w:rPr>
        <w:t>E</w:t>
      </w:r>
      <w:r w:rsidRPr="00524DB3">
        <w:rPr>
          <w:rFonts w:ascii="Arial" w:hAnsi="Arial" w:cs="Arial"/>
          <w:sz w:val="24"/>
          <w:szCs w:val="24"/>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524DB3">
        <w:rPr>
          <w:rFonts w:ascii="Arial" w:hAnsi="Arial" w:cs="Arial"/>
          <w:sz w:val="24"/>
          <w:szCs w:val="24"/>
        </w:rPr>
        <w:t xml:space="preserve">, entre otros, </w:t>
      </w:r>
      <w:r w:rsidRPr="00524DB3">
        <w:rPr>
          <w:rFonts w:ascii="Arial" w:hAnsi="Arial" w:cs="Arial"/>
          <w:bCs/>
          <w:sz w:val="24"/>
          <w:szCs w:val="24"/>
        </w:rPr>
        <w:t>participar en el ejercicio de la función electoral</w:t>
      </w:r>
      <w:r w:rsidR="003732D6">
        <w:rPr>
          <w:rFonts w:ascii="Arial" w:hAnsi="Arial" w:cs="Arial"/>
          <w:bCs/>
          <w:sz w:val="24"/>
          <w:szCs w:val="24"/>
        </w:rPr>
        <w:t>,</w:t>
      </w:r>
      <w:r w:rsidRPr="00524DB3">
        <w:rPr>
          <w:rFonts w:ascii="Arial" w:hAnsi="Arial" w:cs="Arial"/>
          <w:bCs/>
          <w:sz w:val="24"/>
          <w:szCs w:val="24"/>
        </w:rPr>
        <w:t xml:space="preserve"> consistente en ejercer las actividades relativas para realizar los procesos electorales de renovación de los poderes Legislativo y Ejecutivo, así como los ayuntamientos de la entidad; </w:t>
      </w:r>
      <w:r w:rsidRPr="00524DB3">
        <w:rPr>
          <w:rFonts w:ascii="Arial" w:hAnsi="Arial" w:cs="Arial"/>
          <w:bCs/>
          <w:sz w:val="24"/>
          <w:szCs w:val="24"/>
          <w:lang w:eastAsia="ar-SA"/>
        </w:rPr>
        <w:t xml:space="preserve">vigilar en el ámbito electoral el cumplimiento de la Constitución Política de los Estados Unidos Mexicanos, la Constitución local y las leyes que se derivan de ambas, </w:t>
      </w:r>
      <w:r w:rsidRPr="00524DB3">
        <w:rPr>
          <w:rFonts w:ascii="Arial" w:hAnsi="Arial" w:cs="Arial"/>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579037BD" w14:textId="77777777" w:rsidR="00EA1B23" w:rsidRPr="00524DB3" w:rsidRDefault="00EA1B23" w:rsidP="00524DB3">
      <w:pPr>
        <w:spacing w:after="0"/>
        <w:jc w:val="both"/>
        <w:rPr>
          <w:rFonts w:ascii="Arial" w:hAnsi="Arial" w:cs="Arial"/>
          <w:sz w:val="24"/>
          <w:szCs w:val="24"/>
          <w:lang w:eastAsia="ar-SA"/>
        </w:rPr>
      </w:pPr>
    </w:p>
    <w:p w14:paraId="52B73CB4" w14:textId="7AF0CD83" w:rsidR="005A5552" w:rsidRPr="00524DB3" w:rsidRDefault="00EA1B23" w:rsidP="00524DB3">
      <w:pPr>
        <w:spacing w:after="0"/>
        <w:jc w:val="both"/>
        <w:rPr>
          <w:rFonts w:ascii="Arial" w:hAnsi="Arial" w:cs="Arial"/>
          <w:sz w:val="24"/>
          <w:szCs w:val="24"/>
        </w:rPr>
      </w:pPr>
      <w:r w:rsidRPr="00524DB3">
        <w:rPr>
          <w:rFonts w:ascii="Arial" w:hAnsi="Arial" w:cs="Arial"/>
          <w:b/>
          <w:sz w:val="24"/>
          <w:szCs w:val="24"/>
        </w:rPr>
        <w:t xml:space="preserve">II. </w:t>
      </w:r>
      <w:r w:rsidRPr="00524DB3">
        <w:rPr>
          <w:rFonts w:ascii="Arial" w:hAnsi="Arial" w:cs="Arial"/>
          <w:b/>
          <w:bCs/>
          <w:kern w:val="2"/>
          <w:sz w:val="24"/>
          <w:szCs w:val="24"/>
          <w:lang w:eastAsia="ar-SA"/>
        </w:rPr>
        <w:t xml:space="preserve">DEL CONSEJO GENERAL. </w:t>
      </w:r>
      <w:r w:rsidR="003732D6">
        <w:rPr>
          <w:rFonts w:ascii="Arial" w:hAnsi="Arial" w:cs="Arial"/>
          <w:sz w:val="24"/>
          <w:szCs w:val="24"/>
        </w:rPr>
        <w:t>E</w:t>
      </w:r>
      <w:r w:rsidRPr="00524DB3">
        <w:rPr>
          <w:rFonts w:ascii="Arial" w:hAnsi="Arial" w:cs="Arial"/>
          <w:sz w:val="24"/>
          <w:szCs w:val="24"/>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24DB3">
        <w:rPr>
          <w:rFonts w:ascii="Arial" w:hAnsi="Arial" w:cs="Arial"/>
          <w:bCs/>
          <w:sz w:val="24"/>
          <w:szCs w:val="24"/>
        </w:rPr>
        <w:t xml:space="preserve">tribuciones se encuentran: </w:t>
      </w:r>
      <w:r w:rsidR="005A5552" w:rsidRPr="00524DB3">
        <w:rPr>
          <w:rFonts w:ascii="Arial" w:hAnsi="Arial" w:cs="Arial"/>
          <w:bCs/>
          <w:sz w:val="24"/>
          <w:szCs w:val="24"/>
        </w:rPr>
        <w:t xml:space="preserve">vigilar </w:t>
      </w:r>
      <w:r w:rsidR="005A5552" w:rsidRPr="00524DB3">
        <w:rPr>
          <w:rFonts w:ascii="Arial" w:eastAsia="Calibri" w:hAnsi="Arial" w:cs="Arial"/>
          <w:color w:val="000000"/>
          <w:sz w:val="24"/>
          <w:szCs w:val="24"/>
        </w:rPr>
        <w:t xml:space="preserve">la oportuna integración y adecuado funcionamiento de los órganos del Instituto, y conocer, por conducto de su </w:t>
      </w:r>
      <w:r w:rsidR="003732D6">
        <w:rPr>
          <w:rFonts w:ascii="Arial" w:eastAsia="Calibri" w:hAnsi="Arial" w:cs="Arial"/>
          <w:color w:val="000000"/>
          <w:sz w:val="24"/>
          <w:szCs w:val="24"/>
        </w:rPr>
        <w:t>P</w:t>
      </w:r>
      <w:r w:rsidR="005A5552" w:rsidRPr="00524DB3">
        <w:rPr>
          <w:rFonts w:ascii="Arial" w:eastAsia="Calibri" w:hAnsi="Arial" w:cs="Arial"/>
          <w:color w:val="000000"/>
          <w:sz w:val="24"/>
          <w:szCs w:val="24"/>
        </w:rPr>
        <w:t>residen</w:t>
      </w:r>
      <w:r w:rsidR="003732D6">
        <w:rPr>
          <w:rFonts w:ascii="Arial" w:eastAsia="Calibri" w:hAnsi="Arial" w:cs="Arial"/>
          <w:color w:val="000000"/>
          <w:sz w:val="24"/>
          <w:szCs w:val="24"/>
        </w:rPr>
        <w:t>cia</w:t>
      </w:r>
      <w:r w:rsidR="005A5552" w:rsidRPr="00524DB3">
        <w:rPr>
          <w:rFonts w:ascii="Arial" w:eastAsia="Calibri" w:hAnsi="Arial" w:cs="Arial"/>
          <w:color w:val="000000"/>
          <w:sz w:val="24"/>
          <w:szCs w:val="24"/>
        </w:rPr>
        <w:t>, de</w:t>
      </w:r>
      <w:r w:rsidR="005A5552" w:rsidRPr="00524DB3">
        <w:rPr>
          <w:rFonts w:ascii="Arial" w:hAnsi="Arial" w:cs="Arial"/>
          <w:color w:val="000000"/>
          <w:sz w:val="24"/>
          <w:szCs w:val="24"/>
        </w:rPr>
        <w:t xml:space="preserve"> </w:t>
      </w:r>
      <w:r w:rsidR="005A5552" w:rsidRPr="00524DB3">
        <w:rPr>
          <w:rFonts w:ascii="Arial" w:eastAsia="Calibri" w:hAnsi="Arial" w:cs="Arial"/>
          <w:color w:val="000000"/>
          <w:sz w:val="24"/>
          <w:szCs w:val="24"/>
        </w:rPr>
        <w:t>l</w:t>
      </w:r>
      <w:r w:rsidR="005A5552" w:rsidRPr="00524DB3">
        <w:rPr>
          <w:rFonts w:ascii="Arial" w:hAnsi="Arial" w:cs="Arial"/>
          <w:color w:val="000000"/>
          <w:sz w:val="24"/>
          <w:szCs w:val="24"/>
        </w:rPr>
        <w:t>a</w:t>
      </w:r>
      <w:r w:rsidR="005A5552" w:rsidRPr="00524DB3">
        <w:rPr>
          <w:rFonts w:ascii="Arial" w:eastAsia="Calibri" w:hAnsi="Arial" w:cs="Arial"/>
          <w:color w:val="000000"/>
          <w:sz w:val="24"/>
          <w:szCs w:val="24"/>
        </w:rPr>
        <w:t xml:space="preserve"> </w:t>
      </w:r>
      <w:r w:rsidR="003732D6">
        <w:rPr>
          <w:rFonts w:ascii="Arial" w:eastAsia="Calibri" w:hAnsi="Arial" w:cs="Arial"/>
          <w:color w:val="000000"/>
          <w:sz w:val="24"/>
          <w:szCs w:val="24"/>
        </w:rPr>
        <w:t>S</w:t>
      </w:r>
      <w:r w:rsidR="005A5552" w:rsidRPr="00524DB3">
        <w:rPr>
          <w:rFonts w:ascii="Arial" w:eastAsia="Calibri" w:hAnsi="Arial" w:cs="Arial"/>
          <w:color w:val="000000"/>
          <w:sz w:val="24"/>
          <w:szCs w:val="24"/>
        </w:rPr>
        <w:t>ecretar</w:t>
      </w:r>
      <w:r w:rsidR="003732D6">
        <w:rPr>
          <w:rFonts w:ascii="Arial" w:eastAsia="Calibri" w:hAnsi="Arial" w:cs="Arial"/>
          <w:color w:val="000000"/>
          <w:sz w:val="24"/>
          <w:szCs w:val="24"/>
        </w:rPr>
        <w:t>í</w:t>
      </w:r>
      <w:r w:rsidR="005A5552" w:rsidRPr="00524DB3">
        <w:rPr>
          <w:rFonts w:ascii="Arial" w:hAnsi="Arial" w:cs="Arial"/>
          <w:color w:val="000000"/>
          <w:sz w:val="24"/>
          <w:szCs w:val="24"/>
        </w:rPr>
        <w:t>a</w:t>
      </w:r>
      <w:r w:rsidR="005A5552" w:rsidRPr="00524DB3">
        <w:rPr>
          <w:rFonts w:ascii="Arial" w:eastAsia="Calibri" w:hAnsi="Arial" w:cs="Arial"/>
          <w:color w:val="000000"/>
          <w:sz w:val="24"/>
          <w:szCs w:val="24"/>
        </w:rPr>
        <w:t xml:space="preserve"> </w:t>
      </w:r>
      <w:r w:rsidR="003732D6">
        <w:rPr>
          <w:rFonts w:ascii="Arial" w:eastAsia="Calibri" w:hAnsi="Arial" w:cs="Arial"/>
          <w:color w:val="000000"/>
          <w:sz w:val="24"/>
          <w:szCs w:val="24"/>
        </w:rPr>
        <w:t>E</w:t>
      </w:r>
      <w:r w:rsidR="005A5552" w:rsidRPr="00524DB3">
        <w:rPr>
          <w:rFonts w:ascii="Arial" w:eastAsia="Calibri" w:hAnsi="Arial" w:cs="Arial"/>
          <w:color w:val="000000"/>
          <w:sz w:val="24"/>
          <w:szCs w:val="24"/>
        </w:rPr>
        <w:t>jecutiv</w:t>
      </w:r>
      <w:r w:rsidR="005A5552" w:rsidRPr="00524DB3">
        <w:rPr>
          <w:rFonts w:ascii="Arial" w:hAnsi="Arial" w:cs="Arial"/>
          <w:color w:val="000000"/>
          <w:sz w:val="24"/>
          <w:szCs w:val="24"/>
        </w:rPr>
        <w:t>a</w:t>
      </w:r>
      <w:r w:rsidR="005A5552" w:rsidRPr="00524DB3">
        <w:rPr>
          <w:rFonts w:ascii="Arial" w:eastAsia="Calibri" w:hAnsi="Arial" w:cs="Arial"/>
          <w:color w:val="000000"/>
          <w:sz w:val="24"/>
          <w:szCs w:val="24"/>
        </w:rPr>
        <w:t xml:space="preserve"> o de sus comision</w:t>
      </w:r>
      <w:r w:rsidR="005A5552" w:rsidRPr="00524DB3">
        <w:rPr>
          <w:rFonts w:ascii="Arial" w:hAnsi="Arial" w:cs="Arial"/>
          <w:color w:val="000000"/>
          <w:sz w:val="24"/>
          <w:szCs w:val="24"/>
        </w:rPr>
        <w:t xml:space="preserve">es, las </w:t>
      </w:r>
      <w:r w:rsidR="005A5552" w:rsidRPr="00524DB3">
        <w:rPr>
          <w:rFonts w:ascii="Arial" w:eastAsia="Calibri" w:hAnsi="Arial" w:cs="Arial"/>
          <w:color w:val="000000"/>
          <w:sz w:val="24"/>
          <w:szCs w:val="24"/>
        </w:rPr>
        <w:t>actividades de los mismos, así como de los informes específicos que el Consejo General estime necesario solicitarles</w:t>
      </w:r>
      <w:r w:rsidR="005A5552" w:rsidRPr="00524DB3">
        <w:rPr>
          <w:rFonts w:ascii="Arial" w:hAnsi="Arial" w:cs="Arial"/>
          <w:color w:val="000000"/>
          <w:sz w:val="24"/>
          <w:szCs w:val="24"/>
        </w:rPr>
        <w:t xml:space="preserve">; así como </w:t>
      </w:r>
      <w:r w:rsidR="005A5552" w:rsidRPr="00524DB3">
        <w:rPr>
          <w:rFonts w:ascii="Arial" w:hAnsi="Arial" w:cs="Arial"/>
          <w:bCs/>
          <w:sz w:val="24"/>
          <w:szCs w:val="24"/>
        </w:rPr>
        <w:t>el cumplimiento de la legislación y las disposiciones que con base en ella se dicten;</w:t>
      </w:r>
      <w:r w:rsidR="003732D6">
        <w:rPr>
          <w:rFonts w:ascii="Arial" w:hAnsi="Arial" w:cs="Arial"/>
          <w:bCs/>
          <w:sz w:val="24"/>
          <w:szCs w:val="24"/>
        </w:rPr>
        <w:t xml:space="preserve"> y</w:t>
      </w:r>
      <w:r w:rsidR="005A5552" w:rsidRPr="00524DB3">
        <w:rPr>
          <w:rFonts w:ascii="Arial" w:hAnsi="Arial" w:cs="Arial"/>
          <w:bCs/>
          <w:sz w:val="24"/>
          <w:szCs w:val="24"/>
        </w:rPr>
        <w:t xml:space="preserve"> dictar los acuerdos necesarios para hacer efectivas sus atribuciones, de conformidad con lo dispuesto por los artículos</w:t>
      </w:r>
      <w:r w:rsidR="005A5552" w:rsidRPr="00524DB3">
        <w:rPr>
          <w:rFonts w:ascii="Arial" w:hAnsi="Arial" w:cs="Arial"/>
          <w:sz w:val="24"/>
          <w:szCs w:val="24"/>
        </w:rPr>
        <w:t xml:space="preserve"> 12, Bases I y IV de la Constitución Política local; 120 y 134, párrafo 1, fracciones II, LI y LII del Código Electoral del Estado de Jalisco.</w:t>
      </w:r>
    </w:p>
    <w:p w14:paraId="5AA0A692" w14:textId="5A056F2C" w:rsidR="00EA1B23" w:rsidRDefault="00EA1B23" w:rsidP="00524DB3">
      <w:pPr>
        <w:spacing w:after="0"/>
        <w:jc w:val="both"/>
        <w:rPr>
          <w:rFonts w:ascii="Arial" w:hAnsi="Arial" w:cs="Arial"/>
          <w:bCs/>
          <w:sz w:val="24"/>
          <w:szCs w:val="24"/>
        </w:rPr>
      </w:pPr>
    </w:p>
    <w:p w14:paraId="1D86D682" w14:textId="6D8ED319" w:rsidR="00CE5121" w:rsidRDefault="00CE5121" w:rsidP="00524DB3">
      <w:pPr>
        <w:spacing w:after="0"/>
        <w:jc w:val="both"/>
        <w:rPr>
          <w:rFonts w:ascii="Arial" w:hAnsi="Arial" w:cs="Arial"/>
          <w:bCs/>
          <w:sz w:val="24"/>
          <w:szCs w:val="24"/>
        </w:rPr>
      </w:pPr>
      <w:r w:rsidRPr="00CE5121">
        <w:rPr>
          <w:rFonts w:ascii="Arial" w:hAnsi="Arial" w:cs="Arial"/>
          <w:bCs/>
          <w:sz w:val="24"/>
          <w:szCs w:val="24"/>
        </w:rPr>
        <w:t>De igual manera, de conformidad con el artículo 14, párrafo 1, del Reglamento Interior del Comité de Adquisiciones y Enajenaciones del Instituto Electoral y de Participación Ciudadana del Estado de Jalisco y demás órganos participantes en los procesos de adquisición y enajenación, el Consejo General deberá aprobar, para su publicación a más tardar el treinta y uno de enero, el Programa Anual de Adquisiciones, Arrendamientos y Servicios.</w:t>
      </w:r>
    </w:p>
    <w:p w14:paraId="1B456756" w14:textId="77777777" w:rsidR="00CE5121" w:rsidRPr="00524DB3" w:rsidRDefault="00CE5121" w:rsidP="00524DB3">
      <w:pPr>
        <w:spacing w:after="0"/>
        <w:jc w:val="both"/>
        <w:rPr>
          <w:rFonts w:ascii="Arial" w:hAnsi="Arial" w:cs="Arial"/>
          <w:bCs/>
          <w:sz w:val="24"/>
          <w:szCs w:val="24"/>
        </w:rPr>
      </w:pPr>
    </w:p>
    <w:p w14:paraId="0F5F5751" w14:textId="604E2204" w:rsidR="00166BC3" w:rsidRPr="005B51A0" w:rsidRDefault="007B1C24" w:rsidP="00524DB3">
      <w:pPr>
        <w:spacing w:after="0"/>
        <w:jc w:val="both"/>
        <w:rPr>
          <w:rFonts w:ascii="Arial" w:hAnsi="Arial" w:cs="Arial"/>
          <w:bCs/>
          <w:sz w:val="24"/>
          <w:szCs w:val="24"/>
        </w:rPr>
      </w:pPr>
      <w:r w:rsidRPr="00524DB3">
        <w:rPr>
          <w:rFonts w:ascii="Arial" w:hAnsi="Arial" w:cs="Arial"/>
          <w:b/>
          <w:sz w:val="24"/>
          <w:szCs w:val="24"/>
        </w:rPr>
        <w:lastRenderedPageBreak/>
        <w:t>III.</w:t>
      </w:r>
      <w:r w:rsidR="00166BC3">
        <w:rPr>
          <w:rFonts w:ascii="Arial" w:hAnsi="Arial" w:cs="Arial"/>
          <w:b/>
          <w:sz w:val="24"/>
          <w:szCs w:val="24"/>
        </w:rPr>
        <w:t xml:space="preserve"> DEL COMITÉ DE </w:t>
      </w:r>
      <w:r w:rsidR="00166BC3" w:rsidRPr="00166BC3">
        <w:rPr>
          <w:rFonts w:ascii="Arial" w:hAnsi="Arial" w:cs="Arial"/>
          <w:b/>
          <w:sz w:val="24"/>
          <w:szCs w:val="24"/>
        </w:rPr>
        <w:t>ADQUISICIONES Y ENAJENACIONES DEL INSTITUTO ELECTORAL Y DE PARTICIPACIÓN CIUDADANA DEL ESTADO DE JALISCO</w:t>
      </w:r>
      <w:r w:rsidR="00166BC3">
        <w:rPr>
          <w:rFonts w:ascii="Arial" w:hAnsi="Arial" w:cs="Arial"/>
          <w:bCs/>
          <w:sz w:val="24"/>
          <w:szCs w:val="24"/>
        </w:rPr>
        <w:t xml:space="preserve">. El Comité tiene la atribución de revisar cada año, durante los primeros quince días del mes de enero, la metodología, para la elaboración del programa anual de adquisiciones, arrendamientos y servicios, de conformidad con lo dispuesto en el artículo 14, numeral 1, del Reglamento </w:t>
      </w:r>
      <w:r w:rsidR="00166BC3" w:rsidRPr="00166BC3">
        <w:rPr>
          <w:rFonts w:ascii="Arial" w:hAnsi="Arial" w:cs="Arial"/>
          <w:bCs/>
          <w:sz w:val="24"/>
          <w:szCs w:val="24"/>
        </w:rPr>
        <w:t>Interior del Comité de Adquisiciones y Enajenaciones del Instituto Electoral y de Participación Ciudadana del Estado de Jalisco y demás órganos participantes en los procesos de adquisición y enajenación</w:t>
      </w:r>
      <w:r w:rsidR="00166BC3">
        <w:rPr>
          <w:rFonts w:ascii="Arial" w:hAnsi="Arial" w:cs="Arial"/>
          <w:bCs/>
          <w:sz w:val="24"/>
          <w:szCs w:val="24"/>
        </w:rPr>
        <w:t>.</w:t>
      </w:r>
    </w:p>
    <w:p w14:paraId="1C001956" w14:textId="77777777" w:rsidR="00166BC3" w:rsidRDefault="00166BC3" w:rsidP="00524DB3">
      <w:pPr>
        <w:spacing w:after="0"/>
        <w:jc w:val="both"/>
        <w:rPr>
          <w:rFonts w:ascii="Arial" w:hAnsi="Arial" w:cs="Arial"/>
          <w:b/>
          <w:sz w:val="24"/>
          <w:szCs w:val="24"/>
        </w:rPr>
      </w:pPr>
    </w:p>
    <w:p w14:paraId="035DBA4D" w14:textId="1ABC740C" w:rsidR="00166BC3" w:rsidRDefault="00166BC3" w:rsidP="00524DB3">
      <w:pPr>
        <w:spacing w:after="0"/>
        <w:jc w:val="both"/>
        <w:rPr>
          <w:rFonts w:ascii="Arial" w:hAnsi="Arial" w:cs="Arial"/>
          <w:bCs/>
          <w:sz w:val="24"/>
          <w:szCs w:val="24"/>
        </w:rPr>
      </w:pPr>
      <w:r w:rsidRPr="005B51A0">
        <w:rPr>
          <w:rFonts w:ascii="Arial" w:hAnsi="Arial" w:cs="Arial"/>
          <w:bCs/>
          <w:sz w:val="24"/>
          <w:szCs w:val="24"/>
        </w:rPr>
        <w:t>E</w:t>
      </w:r>
      <w:r>
        <w:rPr>
          <w:rFonts w:ascii="Arial" w:hAnsi="Arial" w:cs="Arial"/>
          <w:bCs/>
          <w:sz w:val="24"/>
          <w:szCs w:val="24"/>
        </w:rPr>
        <w:t xml:space="preserve">n ese sentido, es que, como se señala en el antecedente 10, el titular de la Unidad Centralizada de Compras hizo del conocimiento de dicho órgano técnico, la metodología para la elaboración del </w:t>
      </w:r>
      <w:r w:rsidRPr="00166BC3">
        <w:rPr>
          <w:rFonts w:ascii="Arial" w:hAnsi="Arial" w:cs="Arial"/>
          <w:bCs/>
          <w:sz w:val="24"/>
          <w:szCs w:val="24"/>
        </w:rPr>
        <w:t>Programa Anual de Adquisiciones, Arrendamientos y Servicios</w:t>
      </w:r>
      <w:r>
        <w:rPr>
          <w:rFonts w:ascii="Arial" w:hAnsi="Arial" w:cs="Arial"/>
          <w:bCs/>
          <w:sz w:val="24"/>
          <w:szCs w:val="24"/>
        </w:rPr>
        <w:t xml:space="preserve"> de este organismo electoral; </w:t>
      </w:r>
      <w:r w:rsidRPr="00B96A5E">
        <w:rPr>
          <w:rFonts w:ascii="Arial" w:hAnsi="Arial" w:cs="Arial"/>
          <w:bCs/>
          <w:sz w:val="24"/>
          <w:szCs w:val="24"/>
        </w:rPr>
        <w:t xml:space="preserve">sin que se haya realizado observación alguna </w:t>
      </w:r>
      <w:r w:rsidR="007F4676" w:rsidRPr="00B96A5E">
        <w:rPr>
          <w:rFonts w:ascii="Arial" w:hAnsi="Arial" w:cs="Arial"/>
          <w:bCs/>
          <w:sz w:val="24"/>
          <w:szCs w:val="24"/>
        </w:rPr>
        <w:t>que motivara la modificación de dicha metodología</w:t>
      </w:r>
      <w:r w:rsidRPr="00B96A5E">
        <w:rPr>
          <w:rFonts w:ascii="Arial" w:hAnsi="Arial" w:cs="Arial"/>
          <w:bCs/>
          <w:sz w:val="24"/>
          <w:szCs w:val="24"/>
        </w:rPr>
        <w:t>.</w:t>
      </w:r>
    </w:p>
    <w:p w14:paraId="4C6030FC" w14:textId="77777777" w:rsidR="00166BC3" w:rsidRPr="005B51A0" w:rsidRDefault="00166BC3" w:rsidP="00524DB3">
      <w:pPr>
        <w:spacing w:after="0"/>
        <w:jc w:val="both"/>
        <w:rPr>
          <w:rFonts w:ascii="Arial" w:hAnsi="Arial" w:cs="Arial"/>
          <w:bCs/>
          <w:sz w:val="24"/>
          <w:szCs w:val="24"/>
        </w:rPr>
      </w:pPr>
    </w:p>
    <w:p w14:paraId="0F24F12E" w14:textId="6DB14033" w:rsidR="000E366F" w:rsidRPr="00524DB3" w:rsidRDefault="00166BC3" w:rsidP="00524DB3">
      <w:pPr>
        <w:spacing w:after="0"/>
        <w:jc w:val="both"/>
        <w:rPr>
          <w:rFonts w:ascii="Arial" w:hAnsi="Arial" w:cs="Arial"/>
          <w:sz w:val="24"/>
          <w:szCs w:val="24"/>
        </w:rPr>
      </w:pPr>
      <w:r>
        <w:rPr>
          <w:rFonts w:ascii="Arial" w:hAnsi="Arial" w:cs="Arial"/>
          <w:b/>
          <w:sz w:val="24"/>
          <w:szCs w:val="24"/>
        </w:rPr>
        <w:t xml:space="preserve">IV. </w:t>
      </w:r>
      <w:r w:rsidR="007B1C24" w:rsidRPr="00524DB3">
        <w:rPr>
          <w:rFonts w:ascii="Arial" w:hAnsi="Arial" w:cs="Arial"/>
          <w:b/>
          <w:kern w:val="2"/>
          <w:sz w:val="24"/>
          <w:szCs w:val="24"/>
          <w:lang w:eastAsia="ar-SA"/>
        </w:rPr>
        <w:t xml:space="preserve">DE LA PROPUESTA DEL PROGRAMA ANUAL </w:t>
      </w:r>
      <w:r w:rsidR="007B1C24" w:rsidRPr="00524DB3">
        <w:rPr>
          <w:rFonts w:ascii="Arial" w:eastAsia="Calibri" w:hAnsi="Arial" w:cs="Arial"/>
          <w:b/>
          <w:sz w:val="24"/>
          <w:szCs w:val="24"/>
        </w:rPr>
        <w:t xml:space="preserve">DE ADQUISICIONES, ARRENDAMIENTOS Y SERVICIOS DE ESTE ORGANISMO ELECTORAL, PARA EL EJERCICIO DOS MIL </w:t>
      </w:r>
      <w:r w:rsidR="000E366F" w:rsidRPr="00B96A5E">
        <w:rPr>
          <w:rFonts w:ascii="Arial" w:eastAsia="Trebuchet MS" w:hAnsi="Arial" w:cs="Arial"/>
          <w:b/>
          <w:bCs/>
          <w:sz w:val="24"/>
          <w:szCs w:val="24"/>
          <w:lang w:eastAsia="es-ES"/>
        </w:rPr>
        <w:t>VEINTITRÉS</w:t>
      </w:r>
      <w:r w:rsidR="007B1C24" w:rsidRPr="00B96A5E">
        <w:rPr>
          <w:rFonts w:ascii="Arial" w:hAnsi="Arial" w:cs="Arial"/>
          <w:b/>
          <w:sz w:val="24"/>
          <w:szCs w:val="24"/>
        </w:rPr>
        <w:t>.</w:t>
      </w:r>
      <w:r w:rsidR="007B1C24" w:rsidRPr="00524DB3">
        <w:rPr>
          <w:rFonts w:ascii="Arial" w:hAnsi="Arial" w:cs="Arial"/>
          <w:b/>
          <w:sz w:val="24"/>
          <w:szCs w:val="24"/>
          <w:lang w:eastAsia="es-ES"/>
        </w:rPr>
        <w:t xml:space="preserve"> </w:t>
      </w:r>
      <w:r w:rsidR="007B1C24" w:rsidRPr="00524DB3">
        <w:rPr>
          <w:rFonts w:ascii="Arial" w:hAnsi="Arial" w:cs="Arial"/>
          <w:sz w:val="24"/>
          <w:szCs w:val="24"/>
          <w:lang w:eastAsia="es-ES"/>
        </w:rPr>
        <w:t xml:space="preserve">El objetivo principal que persigue el </w:t>
      </w:r>
      <w:r w:rsidR="003732D6">
        <w:rPr>
          <w:rFonts w:ascii="Arial" w:hAnsi="Arial" w:cs="Arial"/>
          <w:sz w:val="24"/>
          <w:szCs w:val="24"/>
          <w:lang w:eastAsia="es-ES"/>
        </w:rPr>
        <w:t>P</w:t>
      </w:r>
      <w:r w:rsidR="007B1C24" w:rsidRPr="00524DB3">
        <w:rPr>
          <w:rFonts w:ascii="Arial" w:hAnsi="Arial" w:cs="Arial"/>
          <w:sz w:val="24"/>
          <w:szCs w:val="24"/>
          <w:lang w:eastAsia="es-ES"/>
        </w:rPr>
        <w:t xml:space="preserve">rograma </w:t>
      </w:r>
      <w:r w:rsidR="003732D6">
        <w:rPr>
          <w:rFonts w:ascii="Arial" w:hAnsi="Arial" w:cs="Arial"/>
          <w:sz w:val="24"/>
          <w:szCs w:val="24"/>
          <w:lang w:eastAsia="es-ES"/>
        </w:rPr>
        <w:t>A</w:t>
      </w:r>
      <w:r w:rsidR="007B1C24" w:rsidRPr="00524DB3">
        <w:rPr>
          <w:rFonts w:ascii="Arial" w:hAnsi="Arial" w:cs="Arial"/>
          <w:sz w:val="24"/>
          <w:szCs w:val="24"/>
          <w:lang w:eastAsia="es-ES"/>
        </w:rPr>
        <w:t xml:space="preserve">nual de </w:t>
      </w:r>
      <w:r w:rsidR="003732D6">
        <w:rPr>
          <w:rFonts w:ascii="Arial" w:hAnsi="Arial" w:cs="Arial"/>
          <w:sz w:val="24"/>
          <w:szCs w:val="24"/>
          <w:lang w:eastAsia="es-ES"/>
        </w:rPr>
        <w:t>A</w:t>
      </w:r>
      <w:r w:rsidR="007B1C24" w:rsidRPr="00524DB3">
        <w:rPr>
          <w:rFonts w:ascii="Arial" w:hAnsi="Arial" w:cs="Arial"/>
          <w:sz w:val="24"/>
          <w:szCs w:val="24"/>
          <w:lang w:eastAsia="es-ES"/>
        </w:rPr>
        <w:t xml:space="preserve">dquisiciones, </w:t>
      </w:r>
      <w:r w:rsidR="003732D6">
        <w:rPr>
          <w:rFonts w:ascii="Arial" w:hAnsi="Arial" w:cs="Arial"/>
          <w:sz w:val="24"/>
          <w:szCs w:val="24"/>
          <w:lang w:eastAsia="es-ES"/>
        </w:rPr>
        <w:t>A</w:t>
      </w:r>
      <w:r w:rsidR="007B1C24" w:rsidRPr="00524DB3">
        <w:rPr>
          <w:rFonts w:ascii="Arial" w:hAnsi="Arial" w:cs="Arial"/>
          <w:sz w:val="24"/>
          <w:szCs w:val="24"/>
          <w:lang w:eastAsia="es-ES"/>
        </w:rPr>
        <w:t xml:space="preserve">rrendamientos y </w:t>
      </w:r>
      <w:r w:rsidR="003732D6">
        <w:rPr>
          <w:rFonts w:ascii="Arial" w:hAnsi="Arial" w:cs="Arial"/>
          <w:sz w:val="24"/>
          <w:szCs w:val="24"/>
          <w:lang w:eastAsia="es-ES"/>
        </w:rPr>
        <w:t>S</w:t>
      </w:r>
      <w:r w:rsidR="007B1C24" w:rsidRPr="00524DB3">
        <w:rPr>
          <w:rFonts w:ascii="Arial" w:hAnsi="Arial" w:cs="Arial"/>
          <w:sz w:val="24"/>
          <w:szCs w:val="24"/>
          <w:lang w:eastAsia="es-ES"/>
        </w:rPr>
        <w:t xml:space="preserve">ervicios, es </w:t>
      </w:r>
      <w:r w:rsidR="007B1C24" w:rsidRPr="00524DB3">
        <w:rPr>
          <w:rFonts w:ascii="Arial" w:hAnsi="Arial" w:cs="Arial"/>
          <w:sz w:val="24"/>
          <w:szCs w:val="24"/>
        </w:rPr>
        <w:t xml:space="preserve">asegurar que los recursos económicos de este organismo electoral se administren con eficacia, eficiencia, honradez y transparencia; satisfacer los objetivos </w:t>
      </w:r>
      <w:r w:rsidR="000E366F" w:rsidRPr="00524DB3">
        <w:rPr>
          <w:rFonts w:ascii="Arial" w:hAnsi="Arial" w:cs="Arial"/>
          <w:sz w:val="24"/>
          <w:szCs w:val="24"/>
        </w:rPr>
        <w:t>y m</w:t>
      </w:r>
      <w:r w:rsidR="003732D6">
        <w:rPr>
          <w:rFonts w:ascii="Arial" w:hAnsi="Arial" w:cs="Arial"/>
          <w:sz w:val="24"/>
          <w:szCs w:val="24"/>
        </w:rPr>
        <w:t>e</w:t>
      </w:r>
      <w:r w:rsidR="000E366F" w:rsidRPr="00524DB3">
        <w:rPr>
          <w:rFonts w:ascii="Arial" w:hAnsi="Arial" w:cs="Arial"/>
          <w:sz w:val="24"/>
          <w:szCs w:val="24"/>
        </w:rPr>
        <w:t xml:space="preserve">tas </w:t>
      </w:r>
      <w:r w:rsidR="007B1C24" w:rsidRPr="00524DB3">
        <w:rPr>
          <w:rFonts w:ascii="Arial" w:hAnsi="Arial" w:cs="Arial"/>
          <w:sz w:val="24"/>
          <w:szCs w:val="24"/>
        </w:rPr>
        <w:t xml:space="preserve">para los cuales están destinados; así como garantizar </w:t>
      </w:r>
      <w:r w:rsidR="000E366F" w:rsidRPr="00524DB3">
        <w:rPr>
          <w:rFonts w:ascii="Arial" w:hAnsi="Arial" w:cs="Arial"/>
          <w:sz w:val="24"/>
          <w:szCs w:val="24"/>
        </w:rPr>
        <w:t>cada uno de los programas presupuestarios de este Instituto.</w:t>
      </w:r>
    </w:p>
    <w:p w14:paraId="05179E89" w14:textId="54D48413" w:rsidR="007B1C24" w:rsidRDefault="007B1C24" w:rsidP="00524DB3">
      <w:pPr>
        <w:spacing w:after="0"/>
        <w:jc w:val="both"/>
        <w:rPr>
          <w:rFonts w:ascii="Arial" w:hAnsi="Arial" w:cs="Arial"/>
          <w:sz w:val="24"/>
          <w:szCs w:val="24"/>
        </w:rPr>
      </w:pPr>
    </w:p>
    <w:p w14:paraId="77DBAD08" w14:textId="5EB8BB24" w:rsidR="00434B0B" w:rsidRDefault="00FF3288" w:rsidP="00524DB3">
      <w:pPr>
        <w:spacing w:after="0"/>
        <w:jc w:val="both"/>
        <w:rPr>
          <w:rFonts w:ascii="Arial" w:hAnsi="Arial" w:cs="Arial"/>
          <w:sz w:val="24"/>
          <w:szCs w:val="24"/>
        </w:rPr>
      </w:pPr>
      <w:r>
        <w:rPr>
          <w:rFonts w:ascii="Arial" w:hAnsi="Arial" w:cs="Arial"/>
          <w:sz w:val="24"/>
          <w:szCs w:val="24"/>
        </w:rPr>
        <w:t>Al respecto</w:t>
      </w:r>
      <w:r w:rsidR="00434B0B">
        <w:rPr>
          <w:rFonts w:ascii="Arial" w:hAnsi="Arial" w:cs="Arial"/>
          <w:sz w:val="24"/>
          <w:szCs w:val="24"/>
        </w:rPr>
        <w:t xml:space="preserve">, es importante establecer que </w:t>
      </w:r>
      <w:r>
        <w:rPr>
          <w:rFonts w:ascii="Arial" w:hAnsi="Arial" w:cs="Arial"/>
          <w:sz w:val="24"/>
          <w:szCs w:val="24"/>
        </w:rPr>
        <w:t>l</w:t>
      </w:r>
      <w:r w:rsidRPr="00FF3288">
        <w:rPr>
          <w:rFonts w:ascii="Arial" w:hAnsi="Arial" w:cs="Arial"/>
          <w:sz w:val="24"/>
          <w:szCs w:val="24"/>
        </w:rPr>
        <w:t>as adquisiciones, arrendamientos y servicios contenidas en el citado programa</w:t>
      </w:r>
      <w:r>
        <w:rPr>
          <w:rFonts w:ascii="Arial" w:hAnsi="Arial" w:cs="Arial"/>
          <w:sz w:val="24"/>
          <w:szCs w:val="24"/>
        </w:rPr>
        <w:t>,</w:t>
      </w:r>
      <w:r w:rsidRPr="00FF3288">
        <w:rPr>
          <w:rFonts w:ascii="Arial" w:hAnsi="Arial" w:cs="Arial"/>
          <w:sz w:val="24"/>
          <w:szCs w:val="24"/>
        </w:rPr>
        <w:t xml:space="preserve"> podrán ser adicionadas, modificadas, suspendidas o canceladas, sin responsabilidad alguna para e</w:t>
      </w:r>
      <w:r>
        <w:rPr>
          <w:rFonts w:ascii="Arial" w:hAnsi="Arial" w:cs="Arial"/>
          <w:sz w:val="24"/>
          <w:szCs w:val="24"/>
        </w:rPr>
        <w:t xml:space="preserve">ste </w:t>
      </w:r>
      <w:r w:rsidRPr="00FF3288">
        <w:rPr>
          <w:rFonts w:ascii="Arial" w:hAnsi="Arial" w:cs="Arial"/>
          <w:sz w:val="24"/>
          <w:szCs w:val="24"/>
        </w:rPr>
        <w:t>e</w:t>
      </w:r>
      <w:r>
        <w:rPr>
          <w:rFonts w:ascii="Arial" w:hAnsi="Arial" w:cs="Arial"/>
          <w:sz w:val="24"/>
          <w:szCs w:val="24"/>
        </w:rPr>
        <w:t>nte</w:t>
      </w:r>
      <w:r w:rsidRPr="00FF3288">
        <w:rPr>
          <w:rFonts w:ascii="Arial" w:hAnsi="Arial" w:cs="Arial"/>
          <w:sz w:val="24"/>
          <w:szCs w:val="24"/>
        </w:rPr>
        <w:t xml:space="preserve"> público, debiendo informar de ello al Órgano de control</w:t>
      </w:r>
      <w:r>
        <w:rPr>
          <w:rFonts w:ascii="Arial" w:hAnsi="Arial" w:cs="Arial"/>
          <w:sz w:val="24"/>
          <w:szCs w:val="24"/>
        </w:rPr>
        <w:t xml:space="preserve">, de conformidad a lo dispuesto en el artículo 45, numeral 2, de la Ley de Compras Gubernamentales, Enajenaciones y Contratación de Servicios del Estado de Jalisco y sus Municipios. </w:t>
      </w:r>
    </w:p>
    <w:p w14:paraId="7D942188" w14:textId="77777777" w:rsidR="00434B0B" w:rsidRPr="00524DB3" w:rsidRDefault="00434B0B" w:rsidP="00524DB3">
      <w:pPr>
        <w:spacing w:after="0"/>
        <w:jc w:val="both"/>
        <w:rPr>
          <w:rFonts w:ascii="Arial" w:hAnsi="Arial" w:cs="Arial"/>
          <w:sz w:val="24"/>
          <w:szCs w:val="24"/>
        </w:rPr>
      </w:pPr>
    </w:p>
    <w:p w14:paraId="5C8E239F" w14:textId="6188206E" w:rsidR="007B509A" w:rsidRPr="00524DB3" w:rsidRDefault="00817161" w:rsidP="00524DB3">
      <w:pPr>
        <w:spacing w:after="0"/>
        <w:jc w:val="both"/>
        <w:rPr>
          <w:rFonts w:ascii="Arial" w:hAnsi="Arial" w:cs="Arial"/>
          <w:b/>
          <w:sz w:val="24"/>
          <w:szCs w:val="24"/>
        </w:rPr>
      </w:pPr>
      <w:r w:rsidRPr="00524DB3">
        <w:rPr>
          <w:rFonts w:ascii="Arial" w:hAnsi="Arial" w:cs="Arial"/>
          <w:b/>
          <w:sz w:val="24"/>
          <w:szCs w:val="24"/>
        </w:rPr>
        <w:t>V</w:t>
      </w:r>
      <w:r w:rsidR="00B6420A" w:rsidRPr="00524DB3">
        <w:rPr>
          <w:rFonts w:ascii="Arial" w:hAnsi="Arial" w:cs="Arial"/>
          <w:b/>
          <w:sz w:val="24"/>
          <w:szCs w:val="24"/>
        </w:rPr>
        <w:t xml:space="preserve">. </w:t>
      </w:r>
      <w:r w:rsidR="00E737AC" w:rsidRPr="00524DB3">
        <w:rPr>
          <w:rFonts w:ascii="Arial" w:hAnsi="Arial" w:cs="Arial"/>
          <w:b/>
          <w:bCs/>
          <w:sz w:val="24"/>
          <w:szCs w:val="24"/>
        </w:rPr>
        <w:t>DE LOS MONTOS DE CADA UNO DE LOS PROCEDIMIENTOS DE ADQUISICIÓN DE BIENES, SERVICIOS O ARRENDAMIENTOS</w:t>
      </w:r>
      <w:r w:rsidR="00A13263" w:rsidRPr="00524DB3">
        <w:rPr>
          <w:rFonts w:ascii="Arial" w:hAnsi="Arial" w:cs="Arial"/>
          <w:b/>
          <w:sz w:val="24"/>
          <w:szCs w:val="24"/>
        </w:rPr>
        <w:t>.</w:t>
      </w:r>
      <w:r w:rsidR="009A018F" w:rsidRPr="00524DB3">
        <w:rPr>
          <w:rFonts w:ascii="Arial" w:hAnsi="Arial" w:cs="Arial"/>
          <w:b/>
          <w:sz w:val="24"/>
          <w:szCs w:val="24"/>
        </w:rPr>
        <w:t xml:space="preserve"> </w:t>
      </w:r>
      <w:r w:rsidR="003732D6">
        <w:rPr>
          <w:rFonts w:ascii="Arial" w:hAnsi="Arial" w:cs="Arial"/>
          <w:sz w:val="24"/>
          <w:szCs w:val="24"/>
        </w:rPr>
        <w:t>E</w:t>
      </w:r>
      <w:r w:rsidR="002E771C" w:rsidRPr="00524DB3">
        <w:rPr>
          <w:rFonts w:ascii="Arial" w:hAnsi="Arial" w:cs="Arial"/>
          <w:sz w:val="24"/>
          <w:szCs w:val="24"/>
        </w:rPr>
        <w:t xml:space="preserve">l Reglamento Interior del Comité de Adquisiciones y Enajenaciones del Instituto Electoral y de Participación Ciudadana del Estado de Jalisco y demás órganos participantes en los procesos de adquisición y enajenación, </w:t>
      </w:r>
      <w:r w:rsidR="00E737AC" w:rsidRPr="00524DB3">
        <w:rPr>
          <w:rFonts w:ascii="Arial" w:hAnsi="Arial" w:cs="Arial"/>
          <w:sz w:val="24"/>
          <w:szCs w:val="24"/>
        </w:rPr>
        <w:t>establece en su artículo 15</w:t>
      </w:r>
      <w:r w:rsidR="003732D6">
        <w:rPr>
          <w:rFonts w:ascii="Arial" w:hAnsi="Arial" w:cs="Arial"/>
          <w:sz w:val="24"/>
          <w:szCs w:val="24"/>
        </w:rPr>
        <w:t>,</w:t>
      </w:r>
      <w:r w:rsidR="002E771C" w:rsidRPr="00524DB3">
        <w:rPr>
          <w:rFonts w:ascii="Arial" w:hAnsi="Arial" w:cs="Arial"/>
          <w:sz w:val="24"/>
          <w:szCs w:val="24"/>
        </w:rPr>
        <w:t xml:space="preserve"> diversos </w:t>
      </w:r>
      <w:r w:rsidR="002E771C" w:rsidRPr="00524DB3">
        <w:rPr>
          <w:rFonts w:ascii="Arial" w:hAnsi="Arial" w:cs="Arial"/>
          <w:sz w:val="24"/>
          <w:szCs w:val="24"/>
        </w:rPr>
        <w:lastRenderedPageBreak/>
        <w:t>procedimientos para la adquisición de bienes y servicios</w:t>
      </w:r>
      <w:r w:rsidR="002F14C9" w:rsidRPr="00524DB3">
        <w:rPr>
          <w:rFonts w:ascii="Arial" w:hAnsi="Arial" w:cs="Arial"/>
          <w:sz w:val="24"/>
          <w:szCs w:val="24"/>
        </w:rPr>
        <w:t xml:space="preserve"> por parte de este organismo electoral</w:t>
      </w:r>
      <w:r w:rsidR="002E771C" w:rsidRPr="00524DB3">
        <w:rPr>
          <w:rFonts w:ascii="Arial" w:hAnsi="Arial" w:cs="Arial"/>
          <w:sz w:val="24"/>
          <w:szCs w:val="24"/>
        </w:rPr>
        <w:t xml:space="preserve">, </w:t>
      </w:r>
      <w:r w:rsidR="00E737AC" w:rsidRPr="00524DB3">
        <w:rPr>
          <w:rFonts w:ascii="Arial" w:hAnsi="Arial" w:cs="Arial"/>
          <w:sz w:val="24"/>
          <w:szCs w:val="24"/>
        </w:rPr>
        <w:t>siendo los siguientes:</w:t>
      </w:r>
      <w:r w:rsidR="002E771C" w:rsidRPr="00524DB3">
        <w:rPr>
          <w:rFonts w:ascii="Arial" w:hAnsi="Arial" w:cs="Arial"/>
          <w:sz w:val="24"/>
          <w:szCs w:val="24"/>
        </w:rPr>
        <w:t xml:space="preserve"> </w:t>
      </w:r>
    </w:p>
    <w:p w14:paraId="53F97D07" w14:textId="77777777" w:rsidR="007B509A" w:rsidRPr="00524DB3" w:rsidRDefault="007B509A" w:rsidP="00524DB3">
      <w:pPr>
        <w:spacing w:after="0"/>
        <w:jc w:val="both"/>
        <w:rPr>
          <w:rFonts w:ascii="Arial" w:hAnsi="Arial" w:cs="Arial"/>
          <w:b/>
          <w:sz w:val="24"/>
          <w:szCs w:val="24"/>
        </w:rPr>
      </w:pPr>
    </w:p>
    <w:p w14:paraId="253E4F75" w14:textId="77777777" w:rsidR="0097512B" w:rsidRPr="00524DB3" w:rsidRDefault="00192AF4" w:rsidP="00524DB3">
      <w:pPr>
        <w:spacing w:after="0"/>
        <w:ind w:left="708"/>
        <w:jc w:val="both"/>
        <w:rPr>
          <w:rFonts w:ascii="Arial" w:hAnsi="Arial" w:cs="Arial"/>
          <w:b/>
          <w:i/>
          <w:sz w:val="21"/>
          <w:szCs w:val="21"/>
        </w:rPr>
      </w:pPr>
      <w:r w:rsidRPr="00524DB3">
        <w:rPr>
          <w:rFonts w:ascii="Arial" w:hAnsi="Arial" w:cs="Arial"/>
          <w:b/>
          <w:i/>
          <w:sz w:val="21"/>
          <w:szCs w:val="21"/>
        </w:rPr>
        <w:t>“</w:t>
      </w:r>
      <w:r w:rsidR="0097512B" w:rsidRPr="00524DB3">
        <w:rPr>
          <w:rFonts w:ascii="Arial" w:hAnsi="Arial" w:cs="Arial"/>
          <w:b/>
          <w:i/>
          <w:sz w:val="21"/>
          <w:szCs w:val="21"/>
        </w:rPr>
        <w:t>Art</w:t>
      </w:r>
      <w:r w:rsidR="006714E0" w:rsidRPr="00524DB3">
        <w:rPr>
          <w:rFonts w:ascii="Arial" w:hAnsi="Arial" w:cs="Arial"/>
          <w:b/>
          <w:i/>
          <w:sz w:val="21"/>
          <w:szCs w:val="21"/>
        </w:rPr>
        <w:t>í</w:t>
      </w:r>
      <w:r w:rsidR="0097512B" w:rsidRPr="00524DB3">
        <w:rPr>
          <w:rFonts w:ascii="Arial" w:hAnsi="Arial" w:cs="Arial"/>
          <w:b/>
          <w:i/>
          <w:sz w:val="21"/>
          <w:szCs w:val="21"/>
        </w:rPr>
        <w:t xml:space="preserve">culo 15 </w:t>
      </w:r>
    </w:p>
    <w:p w14:paraId="627B1424" w14:textId="77777777" w:rsidR="0097512B" w:rsidRPr="00524DB3" w:rsidRDefault="0097512B" w:rsidP="00524DB3">
      <w:pPr>
        <w:spacing w:after="0"/>
        <w:ind w:left="708"/>
        <w:jc w:val="both"/>
        <w:rPr>
          <w:rFonts w:ascii="Arial" w:hAnsi="Arial" w:cs="Arial"/>
          <w:i/>
          <w:sz w:val="21"/>
          <w:szCs w:val="21"/>
        </w:rPr>
      </w:pPr>
    </w:p>
    <w:p w14:paraId="26C0A4B6" w14:textId="77777777" w:rsidR="0097512B" w:rsidRPr="00524DB3" w:rsidRDefault="0097512B" w:rsidP="00524DB3">
      <w:pPr>
        <w:spacing w:after="0"/>
        <w:ind w:left="708"/>
        <w:jc w:val="both"/>
        <w:rPr>
          <w:rFonts w:ascii="Arial" w:hAnsi="Arial" w:cs="Arial"/>
          <w:i/>
          <w:sz w:val="21"/>
          <w:szCs w:val="21"/>
        </w:rPr>
      </w:pPr>
      <w:r w:rsidRPr="00524DB3">
        <w:rPr>
          <w:rFonts w:ascii="Arial" w:hAnsi="Arial" w:cs="Arial"/>
          <w:i/>
          <w:sz w:val="21"/>
          <w:szCs w:val="21"/>
        </w:rPr>
        <w:t xml:space="preserve">1. El Instituto realizará la adquisición de bienes y servicios a través del SECG bajo los siguientes procedimientos: </w:t>
      </w:r>
    </w:p>
    <w:p w14:paraId="477BA8B8" w14:textId="77777777" w:rsidR="0097512B" w:rsidRPr="00524DB3" w:rsidRDefault="0097512B" w:rsidP="00524DB3">
      <w:pPr>
        <w:spacing w:after="0"/>
        <w:ind w:left="708"/>
        <w:jc w:val="both"/>
        <w:rPr>
          <w:rFonts w:ascii="Arial" w:hAnsi="Arial" w:cs="Arial"/>
          <w:i/>
          <w:sz w:val="21"/>
          <w:szCs w:val="21"/>
        </w:rPr>
      </w:pPr>
    </w:p>
    <w:p w14:paraId="6E046312" w14:textId="77777777" w:rsidR="0097512B" w:rsidRPr="00524DB3" w:rsidRDefault="0097512B" w:rsidP="00524DB3">
      <w:pPr>
        <w:spacing w:after="0"/>
        <w:ind w:left="708"/>
        <w:jc w:val="both"/>
        <w:rPr>
          <w:rFonts w:ascii="Arial" w:hAnsi="Arial" w:cs="Arial"/>
          <w:i/>
          <w:sz w:val="21"/>
          <w:szCs w:val="21"/>
        </w:rPr>
      </w:pPr>
      <w:r w:rsidRPr="00524DB3">
        <w:rPr>
          <w:rFonts w:ascii="Arial" w:hAnsi="Arial" w:cs="Arial"/>
          <w:i/>
          <w:sz w:val="21"/>
          <w:szCs w:val="21"/>
        </w:rPr>
        <w:t xml:space="preserve">l. Adquisición por la Unidad Centralizada mediante fondo revolvente; </w:t>
      </w:r>
    </w:p>
    <w:p w14:paraId="3959ADA3" w14:textId="77777777" w:rsidR="006714E0" w:rsidRPr="00524DB3" w:rsidRDefault="006714E0" w:rsidP="00524DB3">
      <w:pPr>
        <w:spacing w:after="0"/>
        <w:ind w:left="708"/>
        <w:jc w:val="both"/>
        <w:rPr>
          <w:rFonts w:ascii="Arial" w:hAnsi="Arial" w:cs="Arial"/>
          <w:i/>
          <w:sz w:val="21"/>
          <w:szCs w:val="21"/>
        </w:rPr>
      </w:pPr>
    </w:p>
    <w:p w14:paraId="4067290C" w14:textId="77777777" w:rsidR="0097512B" w:rsidRPr="00524DB3" w:rsidRDefault="006714E0" w:rsidP="00524DB3">
      <w:pPr>
        <w:spacing w:after="0"/>
        <w:ind w:left="708"/>
        <w:jc w:val="both"/>
        <w:rPr>
          <w:rFonts w:ascii="Arial" w:hAnsi="Arial" w:cs="Arial"/>
          <w:i/>
          <w:sz w:val="21"/>
          <w:szCs w:val="21"/>
        </w:rPr>
      </w:pPr>
      <w:r w:rsidRPr="00524DB3">
        <w:rPr>
          <w:rFonts w:ascii="Arial" w:hAnsi="Arial" w:cs="Arial"/>
          <w:i/>
          <w:sz w:val="21"/>
          <w:szCs w:val="21"/>
        </w:rPr>
        <w:t>II</w:t>
      </w:r>
      <w:r w:rsidR="0097512B" w:rsidRPr="00524DB3">
        <w:rPr>
          <w:rFonts w:ascii="Arial" w:hAnsi="Arial" w:cs="Arial"/>
          <w:i/>
          <w:sz w:val="21"/>
          <w:szCs w:val="21"/>
        </w:rPr>
        <w:t xml:space="preserve">. Licitación sin concurrencia del Comité; </w:t>
      </w:r>
    </w:p>
    <w:p w14:paraId="509E7B3D" w14:textId="77777777" w:rsidR="006714E0" w:rsidRPr="00524DB3" w:rsidRDefault="006714E0" w:rsidP="00524DB3">
      <w:pPr>
        <w:spacing w:after="0"/>
        <w:ind w:left="708"/>
        <w:jc w:val="both"/>
        <w:rPr>
          <w:rFonts w:ascii="Arial" w:hAnsi="Arial" w:cs="Arial"/>
          <w:i/>
          <w:sz w:val="21"/>
          <w:szCs w:val="21"/>
        </w:rPr>
      </w:pPr>
    </w:p>
    <w:p w14:paraId="6AEAB0BE" w14:textId="77777777" w:rsidR="0097512B" w:rsidRPr="00524DB3" w:rsidRDefault="006714E0" w:rsidP="00524DB3">
      <w:pPr>
        <w:spacing w:after="0"/>
        <w:ind w:left="708"/>
        <w:jc w:val="both"/>
        <w:rPr>
          <w:rFonts w:ascii="Arial" w:hAnsi="Arial" w:cs="Arial"/>
          <w:i/>
          <w:sz w:val="21"/>
          <w:szCs w:val="21"/>
        </w:rPr>
      </w:pPr>
      <w:r w:rsidRPr="00524DB3">
        <w:rPr>
          <w:rFonts w:ascii="Arial" w:hAnsi="Arial" w:cs="Arial"/>
          <w:i/>
          <w:sz w:val="21"/>
          <w:szCs w:val="21"/>
        </w:rPr>
        <w:t>III</w:t>
      </w:r>
      <w:r w:rsidR="0097512B" w:rsidRPr="00524DB3">
        <w:rPr>
          <w:rFonts w:ascii="Arial" w:hAnsi="Arial" w:cs="Arial"/>
          <w:i/>
          <w:sz w:val="21"/>
          <w:szCs w:val="21"/>
        </w:rPr>
        <w:t xml:space="preserve">. Licitación Pública con participación del Comité; </w:t>
      </w:r>
    </w:p>
    <w:p w14:paraId="488B6435" w14:textId="77777777" w:rsidR="006714E0" w:rsidRPr="00524DB3" w:rsidRDefault="006714E0" w:rsidP="00524DB3">
      <w:pPr>
        <w:spacing w:after="0"/>
        <w:ind w:left="708"/>
        <w:jc w:val="both"/>
        <w:rPr>
          <w:rFonts w:ascii="Arial" w:hAnsi="Arial" w:cs="Arial"/>
          <w:i/>
          <w:sz w:val="21"/>
          <w:szCs w:val="21"/>
        </w:rPr>
      </w:pPr>
    </w:p>
    <w:p w14:paraId="26901069" w14:textId="77777777" w:rsidR="0097512B" w:rsidRPr="00524DB3" w:rsidRDefault="006714E0" w:rsidP="00524DB3">
      <w:pPr>
        <w:spacing w:after="0"/>
        <w:ind w:left="708"/>
        <w:jc w:val="both"/>
        <w:rPr>
          <w:rFonts w:ascii="Arial" w:hAnsi="Arial" w:cs="Arial"/>
          <w:i/>
          <w:sz w:val="21"/>
          <w:szCs w:val="21"/>
        </w:rPr>
      </w:pPr>
      <w:r w:rsidRPr="00524DB3">
        <w:rPr>
          <w:rFonts w:ascii="Arial" w:hAnsi="Arial" w:cs="Arial"/>
          <w:i/>
          <w:sz w:val="21"/>
          <w:szCs w:val="21"/>
        </w:rPr>
        <w:t>IV</w:t>
      </w:r>
      <w:r w:rsidR="0097512B" w:rsidRPr="00524DB3">
        <w:rPr>
          <w:rFonts w:ascii="Arial" w:hAnsi="Arial" w:cs="Arial"/>
          <w:i/>
          <w:sz w:val="21"/>
          <w:szCs w:val="21"/>
        </w:rPr>
        <w:t xml:space="preserve">. Adjudicación directa por excepción; y </w:t>
      </w:r>
    </w:p>
    <w:p w14:paraId="7FD246BC" w14:textId="77777777" w:rsidR="006714E0" w:rsidRPr="00524DB3" w:rsidRDefault="006714E0" w:rsidP="00524DB3">
      <w:pPr>
        <w:spacing w:after="0"/>
        <w:ind w:left="708"/>
        <w:jc w:val="both"/>
        <w:rPr>
          <w:rFonts w:ascii="Arial" w:hAnsi="Arial" w:cs="Arial"/>
          <w:i/>
          <w:sz w:val="21"/>
          <w:szCs w:val="21"/>
        </w:rPr>
      </w:pPr>
    </w:p>
    <w:p w14:paraId="0130E8C0" w14:textId="71C8661F" w:rsidR="00E737AC" w:rsidRPr="00524DB3" w:rsidRDefault="0097512B" w:rsidP="00524DB3">
      <w:pPr>
        <w:spacing w:after="0"/>
        <w:ind w:left="708"/>
        <w:jc w:val="both"/>
        <w:rPr>
          <w:rFonts w:ascii="Arial" w:hAnsi="Arial" w:cs="Arial"/>
          <w:i/>
          <w:sz w:val="21"/>
          <w:szCs w:val="21"/>
        </w:rPr>
      </w:pPr>
      <w:r w:rsidRPr="00524DB3">
        <w:rPr>
          <w:rFonts w:ascii="Arial" w:hAnsi="Arial" w:cs="Arial"/>
          <w:i/>
          <w:sz w:val="21"/>
          <w:szCs w:val="21"/>
        </w:rPr>
        <w:t xml:space="preserve">V. Especial. </w:t>
      </w:r>
    </w:p>
    <w:p w14:paraId="160F700C" w14:textId="694A4616" w:rsidR="00E737AC" w:rsidRPr="00524DB3" w:rsidRDefault="00E737AC" w:rsidP="00524DB3">
      <w:pPr>
        <w:spacing w:after="0"/>
        <w:jc w:val="both"/>
        <w:rPr>
          <w:rFonts w:ascii="Arial" w:hAnsi="Arial" w:cs="Arial"/>
          <w:sz w:val="24"/>
          <w:szCs w:val="24"/>
        </w:rPr>
      </w:pPr>
    </w:p>
    <w:p w14:paraId="616FB001" w14:textId="6FF04C09" w:rsidR="00E737AC" w:rsidRDefault="00E737AC" w:rsidP="00524DB3">
      <w:pPr>
        <w:spacing w:after="0"/>
        <w:jc w:val="both"/>
        <w:rPr>
          <w:rFonts w:ascii="Arial" w:hAnsi="Arial" w:cs="Arial"/>
          <w:sz w:val="24"/>
          <w:szCs w:val="24"/>
        </w:rPr>
      </w:pPr>
      <w:r w:rsidRPr="00524DB3">
        <w:rPr>
          <w:rFonts w:ascii="Arial" w:hAnsi="Arial" w:cs="Arial"/>
          <w:sz w:val="24"/>
          <w:szCs w:val="24"/>
        </w:rPr>
        <w:t xml:space="preserve">Ahora bien, el </w:t>
      </w:r>
      <w:r w:rsidR="00FF6DDB" w:rsidRPr="00524DB3">
        <w:rPr>
          <w:rFonts w:ascii="Arial" w:hAnsi="Arial" w:cs="Arial"/>
          <w:sz w:val="24"/>
          <w:szCs w:val="24"/>
        </w:rPr>
        <w:t>artículo</w:t>
      </w:r>
      <w:r w:rsidRPr="00524DB3">
        <w:rPr>
          <w:rFonts w:ascii="Arial" w:hAnsi="Arial" w:cs="Arial"/>
          <w:sz w:val="24"/>
          <w:szCs w:val="24"/>
        </w:rPr>
        <w:t xml:space="preserve"> </w:t>
      </w:r>
      <w:r w:rsidR="00265CB2" w:rsidRPr="00524DB3">
        <w:rPr>
          <w:rFonts w:ascii="Arial" w:hAnsi="Arial" w:cs="Arial"/>
          <w:sz w:val="24"/>
          <w:szCs w:val="24"/>
        </w:rPr>
        <w:t>16 del citado Reglamento</w:t>
      </w:r>
      <w:r w:rsidR="003732D6">
        <w:rPr>
          <w:rFonts w:ascii="Arial" w:hAnsi="Arial" w:cs="Arial"/>
          <w:sz w:val="24"/>
          <w:szCs w:val="24"/>
        </w:rPr>
        <w:t>,</w:t>
      </w:r>
      <w:r w:rsidR="00265CB2" w:rsidRPr="00524DB3">
        <w:rPr>
          <w:rFonts w:ascii="Arial" w:hAnsi="Arial" w:cs="Arial"/>
          <w:sz w:val="24"/>
          <w:szCs w:val="24"/>
        </w:rPr>
        <w:t xml:space="preserve"> establece que la adquisición mediante fondo revolvente se limita al monto establecido en el Manual de Administración del Instituto</w:t>
      </w:r>
      <w:r w:rsidR="001646B3">
        <w:rPr>
          <w:rFonts w:ascii="Arial" w:hAnsi="Arial" w:cs="Arial"/>
          <w:sz w:val="24"/>
          <w:szCs w:val="24"/>
        </w:rPr>
        <w:t>, que en lo que interesa establece lo siguiente:</w:t>
      </w:r>
    </w:p>
    <w:p w14:paraId="6A6C2EE7" w14:textId="689AFDE9" w:rsidR="001646B3" w:rsidRDefault="001646B3" w:rsidP="00524DB3">
      <w:pPr>
        <w:spacing w:after="0"/>
        <w:jc w:val="both"/>
        <w:rPr>
          <w:rFonts w:ascii="Arial" w:hAnsi="Arial" w:cs="Arial"/>
          <w:sz w:val="24"/>
          <w:szCs w:val="24"/>
        </w:rPr>
      </w:pPr>
    </w:p>
    <w:p w14:paraId="1D0BC863" w14:textId="2426B83C" w:rsidR="001646B3" w:rsidRPr="001646B3" w:rsidRDefault="001646B3" w:rsidP="001646B3">
      <w:pPr>
        <w:spacing w:after="0"/>
        <w:ind w:left="567" w:right="616"/>
        <w:jc w:val="both"/>
        <w:rPr>
          <w:rFonts w:ascii="Arial" w:hAnsi="Arial" w:cs="Arial"/>
          <w:i/>
          <w:iCs/>
          <w:sz w:val="20"/>
          <w:szCs w:val="20"/>
        </w:rPr>
      </w:pPr>
      <w:r w:rsidRPr="001646B3">
        <w:rPr>
          <w:rFonts w:ascii="Arial" w:hAnsi="Arial" w:cs="Arial"/>
          <w:i/>
          <w:iCs/>
          <w:sz w:val="20"/>
          <w:szCs w:val="20"/>
        </w:rPr>
        <w:t>“</w:t>
      </w:r>
      <w:r w:rsidRPr="001646B3">
        <w:rPr>
          <w:rFonts w:ascii="Arial" w:hAnsi="Arial" w:cs="Arial"/>
          <w:b/>
          <w:bCs/>
          <w:i/>
          <w:iCs/>
          <w:sz w:val="20"/>
          <w:szCs w:val="20"/>
        </w:rPr>
        <w:t>Fondo revolvente</w:t>
      </w:r>
    </w:p>
    <w:p w14:paraId="7C76A598" w14:textId="7A8836F3" w:rsidR="001646B3" w:rsidRPr="001646B3" w:rsidRDefault="001646B3" w:rsidP="001646B3">
      <w:pPr>
        <w:spacing w:after="0"/>
        <w:ind w:left="567" w:right="616"/>
        <w:jc w:val="both"/>
        <w:rPr>
          <w:rFonts w:ascii="Arial" w:hAnsi="Arial" w:cs="Arial"/>
          <w:i/>
          <w:iCs/>
          <w:sz w:val="20"/>
          <w:szCs w:val="20"/>
        </w:rPr>
      </w:pPr>
      <w:r w:rsidRPr="001646B3">
        <w:rPr>
          <w:rFonts w:ascii="Arial" w:hAnsi="Arial" w:cs="Arial"/>
          <w:i/>
          <w:iCs/>
          <w:sz w:val="20"/>
          <w:szCs w:val="20"/>
        </w:rPr>
        <w:t>…</w:t>
      </w:r>
    </w:p>
    <w:p w14:paraId="56B1107F" w14:textId="77777777" w:rsidR="001646B3" w:rsidRPr="001646B3" w:rsidRDefault="001646B3" w:rsidP="001646B3">
      <w:pPr>
        <w:spacing w:after="0"/>
        <w:ind w:left="567" w:right="616"/>
        <w:jc w:val="both"/>
        <w:rPr>
          <w:rFonts w:ascii="Arial" w:hAnsi="Arial" w:cs="Arial"/>
          <w:i/>
          <w:iCs/>
          <w:sz w:val="20"/>
          <w:szCs w:val="20"/>
        </w:rPr>
      </w:pPr>
    </w:p>
    <w:p w14:paraId="0C41BF7E" w14:textId="56A09787" w:rsidR="001646B3" w:rsidRPr="001646B3" w:rsidRDefault="001646B3" w:rsidP="001646B3">
      <w:pPr>
        <w:ind w:left="567" w:right="616"/>
        <w:jc w:val="both"/>
        <w:rPr>
          <w:rFonts w:ascii="Arial" w:hAnsi="Arial" w:cs="Arial"/>
          <w:i/>
          <w:iCs/>
          <w:sz w:val="20"/>
          <w:szCs w:val="20"/>
        </w:rPr>
      </w:pPr>
      <w:r w:rsidRPr="001646B3">
        <w:rPr>
          <w:rFonts w:ascii="Arial" w:hAnsi="Arial" w:cs="Arial"/>
          <w:i/>
          <w:iCs/>
          <w:sz w:val="20"/>
          <w:szCs w:val="20"/>
        </w:rPr>
        <w:t xml:space="preserve">i) El monto referido en el artículo 17 del Reglamento Interior del Comité de Adquisiciones y Enajenaciones del Instituto Electoral y de Participación Ciudadana del Estado de Jalisco y demás órganos participantes en los procesos de adquisición y enajenación no excederá de 2,300 unidades de medida y actualización. </w:t>
      </w:r>
    </w:p>
    <w:p w14:paraId="5FE52B32" w14:textId="7A1F8071" w:rsidR="001646B3" w:rsidRDefault="001646B3" w:rsidP="001646B3">
      <w:pPr>
        <w:ind w:left="567" w:right="616"/>
        <w:jc w:val="both"/>
        <w:rPr>
          <w:rFonts w:ascii="Arial" w:hAnsi="Arial" w:cs="Arial"/>
          <w:sz w:val="24"/>
          <w:szCs w:val="24"/>
        </w:rPr>
      </w:pPr>
      <w:r w:rsidRPr="001646B3">
        <w:rPr>
          <w:rFonts w:ascii="Arial" w:hAnsi="Arial" w:cs="Arial"/>
          <w:i/>
          <w:iCs/>
          <w:sz w:val="20"/>
          <w:szCs w:val="20"/>
        </w:rPr>
        <w:t>j) Para las compras de bienes o contracción de servicios mayores a 500 unidades de inversión, pero no mayores a 2,300 unidades de inversión, deberán acompañarse de tres cotizaciones.”</w:t>
      </w:r>
    </w:p>
    <w:p w14:paraId="6836B304" w14:textId="19FE3EE2" w:rsidR="00635C96" w:rsidRPr="00524DB3" w:rsidRDefault="00265CB2" w:rsidP="00524DB3">
      <w:pPr>
        <w:spacing w:after="0"/>
        <w:jc w:val="both"/>
        <w:rPr>
          <w:rFonts w:ascii="Arial" w:hAnsi="Arial" w:cs="Arial"/>
          <w:sz w:val="24"/>
          <w:szCs w:val="24"/>
        </w:rPr>
      </w:pPr>
      <w:r w:rsidRPr="00524DB3">
        <w:rPr>
          <w:rFonts w:ascii="Arial" w:hAnsi="Arial" w:cs="Arial"/>
          <w:sz w:val="24"/>
          <w:szCs w:val="24"/>
        </w:rPr>
        <w:t>Por su parte, el artículo 17</w:t>
      </w:r>
      <w:r w:rsidR="00EF2E1C" w:rsidRPr="00524DB3">
        <w:rPr>
          <w:rFonts w:ascii="Arial" w:hAnsi="Arial" w:cs="Arial"/>
          <w:sz w:val="24"/>
          <w:szCs w:val="24"/>
        </w:rPr>
        <w:t xml:space="preserve"> del referido Reglamento</w:t>
      </w:r>
      <w:r w:rsidRPr="00524DB3">
        <w:rPr>
          <w:rFonts w:ascii="Arial" w:hAnsi="Arial" w:cs="Arial"/>
          <w:sz w:val="24"/>
          <w:szCs w:val="24"/>
        </w:rPr>
        <w:t xml:space="preserve"> señala que</w:t>
      </w:r>
      <w:r w:rsidR="003A6D1C" w:rsidRPr="00524DB3">
        <w:rPr>
          <w:rFonts w:ascii="Arial" w:hAnsi="Arial" w:cs="Arial"/>
          <w:sz w:val="24"/>
          <w:szCs w:val="24"/>
        </w:rPr>
        <w:t>,</w:t>
      </w:r>
      <w:r w:rsidRPr="00524DB3">
        <w:rPr>
          <w:rFonts w:ascii="Arial" w:hAnsi="Arial" w:cs="Arial"/>
          <w:sz w:val="24"/>
          <w:szCs w:val="24"/>
        </w:rPr>
        <w:t xml:space="preserve"> la licitación sin concurrencia del Comité</w:t>
      </w:r>
      <w:r w:rsidR="003732D6">
        <w:rPr>
          <w:rFonts w:ascii="Arial" w:hAnsi="Arial" w:cs="Arial"/>
          <w:sz w:val="24"/>
          <w:szCs w:val="24"/>
        </w:rPr>
        <w:t>,</w:t>
      </w:r>
      <w:r w:rsidRPr="00524DB3">
        <w:rPr>
          <w:rFonts w:ascii="Arial" w:hAnsi="Arial" w:cs="Arial"/>
          <w:sz w:val="24"/>
          <w:szCs w:val="24"/>
        </w:rPr>
        <w:t xml:space="preserve"> se encuentra sujeta al límite económico expresamente señalado en el presupuesto de egresos, sin embargo</w:t>
      </w:r>
      <w:r w:rsidR="003A6D1C" w:rsidRPr="00524DB3">
        <w:rPr>
          <w:rFonts w:ascii="Arial" w:hAnsi="Arial" w:cs="Arial"/>
          <w:sz w:val="24"/>
          <w:szCs w:val="24"/>
        </w:rPr>
        <w:t>,</w:t>
      </w:r>
      <w:r w:rsidR="00EF2E1C" w:rsidRPr="00524DB3">
        <w:rPr>
          <w:rFonts w:ascii="Arial" w:hAnsi="Arial" w:cs="Arial"/>
          <w:sz w:val="24"/>
          <w:szCs w:val="24"/>
        </w:rPr>
        <w:t xml:space="preserve"> el monto establecido en el presupuesto aprobado por el Congreso del Estado</w:t>
      </w:r>
      <w:r w:rsidR="003732D6">
        <w:rPr>
          <w:rFonts w:ascii="Arial" w:hAnsi="Arial" w:cs="Arial"/>
          <w:sz w:val="24"/>
          <w:szCs w:val="24"/>
        </w:rPr>
        <w:t>,</w:t>
      </w:r>
      <w:r w:rsidR="00EF2E1C" w:rsidRPr="00524DB3">
        <w:rPr>
          <w:rFonts w:ascii="Arial" w:hAnsi="Arial" w:cs="Arial"/>
          <w:sz w:val="24"/>
          <w:szCs w:val="24"/>
        </w:rPr>
        <w:t xml:space="preserve"> únicamente contempla los montos para el Poder Ejecutivo, sin tomar en consideración el tamaño de la dependencia y su presupuesto asignado, por lo que se considera viable que</w:t>
      </w:r>
      <w:r w:rsidRPr="00524DB3">
        <w:rPr>
          <w:rFonts w:ascii="Arial" w:hAnsi="Arial" w:cs="Arial"/>
          <w:sz w:val="24"/>
          <w:szCs w:val="24"/>
        </w:rPr>
        <w:t xml:space="preserve"> </w:t>
      </w:r>
      <w:r w:rsidR="00EF2E1C" w:rsidRPr="00524DB3">
        <w:rPr>
          <w:rFonts w:ascii="Arial" w:hAnsi="Arial" w:cs="Arial"/>
          <w:sz w:val="24"/>
          <w:szCs w:val="24"/>
        </w:rPr>
        <w:t>se tome en consideración</w:t>
      </w:r>
      <w:r w:rsidRPr="00524DB3">
        <w:rPr>
          <w:rFonts w:ascii="Arial" w:hAnsi="Arial" w:cs="Arial"/>
          <w:sz w:val="24"/>
          <w:szCs w:val="24"/>
        </w:rPr>
        <w:t xml:space="preserve"> lo establecido en el artículo </w:t>
      </w:r>
      <w:r w:rsidR="00635C96" w:rsidRPr="00524DB3">
        <w:rPr>
          <w:rFonts w:ascii="Arial" w:hAnsi="Arial" w:cs="Arial"/>
          <w:sz w:val="24"/>
          <w:szCs w:val="24"/>
        </w:rPr>
        <w:t xml:space="preserve">15 del Reglamento de la Ley de </w:t>
      </w:r>
      <w:r w:rsidR="00635C96" w:rsidRPr="00524DB3">
        <w:rPr>
          <w:rFonts w:ascii="Arial" w:hAnsi="Arial" w:cs="Arial"/>
          <w:sz w:val="24"/>
          <w:szCs w:val="24"/>
        </w:rPr>
        <w:lastRenderedPageBreak/>
        <w:t xml:space="preserve">Compras Gubernamentales, Enajenaciones y Contratación de Servicios del Estado de Jalisco y sus Municipios, para el Poder Ejecutivo del Estado de Jalisco, que  dispone que, para establecer el </w:t>
      </w:r>
      <w:bookmarkStart w:id="1" w:name="_Hlk94649129"/>
      <w:r w:rsidR="00635C96" w:rsidRPr="00524DB3">
        <w:rPr>
          <w:rFonts w:ascii="Arial" w:hAnsi="Arial" w:cs="Arial"/>
          <w:sz w:val="24"/>
          <w:szCs w:val="24"/>
        </w:rPr>
        <w:t>monto de cada uno de los procedimientos de adquisición de bienes, servicios o arrendamientos</w:t>
      </w:r>
      <w:bookmarkEnd w:id="1"/>
      <w:r w:rsidR="00635C96" w:rsidRPr="00524DB3">
        <w:rPr>
          <w:rFonts w:ascii="Arial" w:hAnsi="Arial" w:cs="Arial"/>
          <w:sz w:val="24"/>
          <w:szCs w:val="24"/>
        </w:rPr>
        <w:t>, se tomará en cuenta el resultado de la suma de los capítulos 2000 “Materiales y Suministros”, 3000 “Servicios Generales” y 5000 “Bienes Muebles, Inmuebles e intangibles” del Presupuesto de Egresos autorizado</w:t>
      </w:r>
      <w:r w:rsidR="00C10720" w:rsidRPr="00524DB3">
        <w:rPr>
          <w:rFonts w:ascii="Arial" w:hAnsi="Arial" w:cs="Arial"/>
          <w:sz w:val="24"/>
          <w:szCs w:val="24"/>
        </w:rPr>
        <w:t xml:space="preserve"> </w:t>
      </w:r>
      <w:r w:rsidR="00635C96" w:rsidRPr="00524DB3">
        <w:rPr>
          <w:rFonts w:ascii="Arial" w:hAnsi="Arial" w:cs="Arial"/>
          <w:sz w:val="24"/>
          <w:szCs w:val="24"/>
        </w:rPr>
        <w:t>y clasifica a los organismos conforme a la suma referida, de la siguiente manera:</w:t>
      </w:r>
    </w:p>
    <w:p w14:paraId="471F5CF7" w14:textId="77777777" w:rsidR="00635C96" w:rsidRPr="00524DB3" w:rsidRDefault="00635C96" w:rsidP="00524DB3">
      <w:pPr>
        <w:spacing w:after="0"/>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3128"/>
      </w:tblGrid>
      <w:tr w:rsidR="00635C96" w:rsidRPr="00524DB3" w14:paraId="1D9EBBED" w14:textId="77777777" w:rsidTr="003A6D1C">
        <w:trPr>
          <w:jc w:val="center"/>
        </w:trPr>
        <w:tc>
          <w:tcPr>
            <w:tcW w:w="1829" w:type="dxa"/>
          </w:tcPr>
          <w:p w14:paraId="193E5423"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Clasificación</w:t>
            </w:r>
          </w:p>
          <w:p w14:paraId="072E857B" w14:textId="77777777" w:rsidR="00635C96" w:rsidRPr="00524DB3" w:rsidRDefault="00635C96" w:rsidP="00524DB3">
            <w:pPr>
              <w:spacing w:after="0"/>
              <w:jc w:val="center"/>
              <w:rPr>
                <w:rFonts w:ascii="Arial" w:eastAsia="Times New Roman" w:hAnsi="Arial" w:cs="Arial"/>
              </w:rPr>
            </w:pPr>
          </w:p>
        </w:tc>
        <w:tc>
          <w:tcPr>
            <w:tcW w:w="3128" w:type="dxa"/>
          </w:tcPr>
          <w:p w14:paraId="1EC36D18" w14:textId="77777777" w:rsidR="00635C96" w:rsidRPr="00524DB3" w:rsidRDefault="00635C96" w:rsidP="00524DB3">
            <w:pPr>
              <w:spacing w:after="0"/>
              <w:jc w:val="both"/>
              <w:rPr>
                <w:rFonts w:ascii="Arial" w:eastAsia="Times New Roman" w:hAnsi="Arial" w:cs="Arial"/>
              </w:rPr>
            </w:pPr>
            <w:r w:rsidRPr="00524DB3">
              <w:rPr>
                <w:rFonts w:ascii="Arial" w:eastAsia="Times New Roman" w:hAnsi="Arial" w:cs="Arial"/>
              </w:rPr>
              <w:t xml:space="preserve">Presupuesto </w:t>
            </w:r>
          </w:p>
          <w:p w14:paraId="4A3CE80B" w14:textId="77777777" w:rsidR="00635C96" w:rsidRPr="00524DB3" w:rsidRDefault="00635C96" w:rsidP="00524DB3">
            <w:pPr>
              <w:spacing w:after="0"/>
              <w:jc w:val="both"/>
              <w:rPr>
                <w:rFonts w:ascii="Arial" w:eastAsia="Times New Roman" w:hAnsi="Arial" w:cs="Arial"/>
              </w:rPr>
            </w:pPr>
          </w:p>
        </w:tc>
      </w:tr>
      <w:tr w:rsidR="00635C96" w:rsidRPr="00524DB3" w14:paraId="729963C7" w14:textId="77777777" w:rsidTr="003A6D1C">
        <w:trPr>
          <w:jc w:val="center"/>
        </w:trPr>
        <w:tc>
          <w:tcPr>
            <w:tcW w:w="1829" w:type="dxa"/>
          </w:tcPr>
          <w:p w14:paraId="6D9C22F9"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Pequeña</w:t>
            </w:r>
          </w:p>
          <w:p w14:paraId="19F6AD49" w14:textId="77777777" w:rsidR="00635C96" w:rsidRPr="00524DB3" w:rsidRDefault="00635C96" w:rsidP="00524DB3">
            <w:pPr>
              <w:spacing w:after="0"/>
              <w:jc w:val="center"/>
              <w:rPr>
                <w:rFonts w:ascii="Arial" w:eastAsia="Times New Roman" w:hAnsi="Arial" w:cs="Arial"/>
              </w:rPr>
            </w:pPr>
          </w:p>
        </w:tc>
        <w:tc>
          <w:tcPr>
            <w:tcW w:w="3128" w:type="dxa"/>
          </w:tcPr>
          <w:p w14:paraId="276282B1" w14:textId="77777777" w:rsidR="00635C96" w:rsidRPr="00524DB3" w:rsidRDefault="00635C96" w:rsidP="00524DB3">
            <w:pPr>
              <w:spacing w:after="0"/>
              <w:jc w:val="both"/>
              <w:rPr>
                <w:rFonts w:ascii="Arial" w:eastAsia="Times New Roman" w:hAnsi="Arial" w:cs="Arial"/>
              </w:rPr>
            </w:pPr>
            <w:r w:rsidRPr="00524DB3">
              <w:rPr>
                <w:rFonts w:ascii="Arial" w:eastAsia="Times New Roman" w:hAnsi="Arial" w:cs="Arial"/>
              </w:rPr>
              <w:t>$0.01 a 9’000,000.00</w:t>
            </w:r>
          </w:p>
          <w:p w14:paraId="093C8A7C" w14:textId="77777777" w:rsidR="00635C96" w:rsidRPr="00524DB3" w:rsidRDefault="00635C96" w:rsidP="00524DB3">
            <w:pPr>
              <w:spacing w:after="0"/>
              <w:jc w:val="both"/>
              <w:rPr>
                <w:rFonts w:ascii="Arial" w:eastAsia="Times New Roman" w:hAnsi="Arial" w:cs="Arial"/>
              </w:rPr>
            </w:pPr>
          </w:p>
        </w:tc>
      </w:tr>
      <w:tr w:rsidR="00635C96" w:rsidRPr="00524DB3" w14:paraId="45C30AB4" w14:textId="77777777" w:rsidTr="003A6D1C">
        <w:trPr>
          <w:jc w:val="center"/>
        </w:trPr>
        <w:tc>
          <w:tcPr>
            <w:tcW w:w="1829" w:type="dxa"/>
          </w:tcPr>
          <w:p w14:paraId="0195B3FF"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Mediana</w:t>
            </w:r>
          </w:p>
          <w:p w14:paraId="6726E3EC" w14:textId="77777777" w:rsidR="00635C96" w:rsidRPr="00524DB3" w:rsidRDefault="00635C96" w:rsidP="00524DB3">
            <w:pPr>
              <w:spacing w:after="0"/>
              <w:jc w:val="center"/>
              <w:rPr>
                <w:rFonts w:ascii="Arial" w:eastAsia="Times New Roman" w:hAnsi="Arial" w:cs="Arial"/>
              </w:rPr>
            </w:pPr>
          </w:p>
        </w:tc>
        <w:tc>
          <w:tcPr>
            <w:tcW w:w="3128" w:type="dxa"/>
          </w:tcPr>
          <w:p w14:paraId="5A02CDF8" w14:textId="77777777" w:rsidR="00635C96" w:rsidRPr="00524DB3" w:rsidRDefault="00635C96" w:rsidP="00524DB3">
            <w:pPr>
              <w:spacing w:after="0"/>
              <w:jc w:val="both"/>
              <w:rPr>
                <w:rFonts w:ascii="Arial" w:eastAsia="Times New Roman" w:hAnsi="Arial" w:cs="Arial"/>
              </w:rPr>
            </w:pPr>
            <w:r w:rsidRPr="00524DB3">
              <w:rPr>
                <w:rFonts w:ascii="Arial" w:eastAsia="Times New Roman" w:hAnsi="Arial" w:cs="Arial"/>
              </w:rPr>
              <w:t xml:space="preserve">$9’000,000.01 a </w:t>
            </w:r>
          </w:p>
          <w:p w14:paraId="38A4845A" w14:textId="77777777" w:rsidR="00635C96" w:rsidRPr="00524DB3" w:rsidRDefault="00635C96" w:rsidP="00524DB3">
            <w:pPr>
              <w:spacing w:after="0"/>
              <w:jc w:val="both"/>
              <w:rPr>
                <w:rFonts w:ascii="Arial" w:eastAsia="Times New Roman" w:hAnsi="Arial" w:cs="Arial"/>
              </w:rPr>
            </w:pPr>
            <w:r w:rsidRPr="00524DB3">
              <w:rPr>
                <w:rFonts w:ascii="Arial" w:eastAsia="Times New Roman" w:hAnsi="Arial" w:cs="Arial"/>
              </w:rPr>
              <w:t>100’000,000.00</w:t>
            </w:r>
          </w:p>
          <w:p w14:paraId="1A7641B2" w14:textId="77777777" w:rsidR="00635C96" w:rsidRPr="00524DB3" w:rsidRDefault="00635C96" w:rsidP="00524DB3">
            <w:pPr>
              <w:spacing w:after="0"/>
              <w:jc w:val="both"/>
              <w:rPr>
                <w:rFonts w:ascii="Arial" w:eastAsia="Times New Roman" w:hAnsi="Arial" w:cs="Arial"/>
              </w:rPr>
            </w:pPr>
          </w:p>
        </w:tc>
      </w:tr>
      <w:tr w:rsidR="00635C96" w:rsidRPr="00524DB3" w14:paraId="4E96BAE0" w14:textId="77777777" w:rsidTr="003A6D1C">
        <w:trPr>
          <w:jc w:val="center"/>
        </w:trPr>
        <w:tc>
          <w:tcPr>
            <w:tcW w:w="1829" w:type="dxa"/>
          </w:tcPr>
          <w:p w14:paraId="667E6857"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Grande</w:t>
            </w:r>
          </w:p>
          <w:p w14:paraId="1A75C05A" w14:textId="77777777" w:rsidR="00635C96" w:rsidRPr="00524DB3" w:rsidRDefault="00635C96" w:rsidP="00524DB3">
            <w:pPr>
              <w:spacing w:after="0"/>
              <w:jc w:val="center"/>
              <w:rPr>
                <w:rFonts w:ascii="Arial" w:eastAsia="Times New Roman" w:hAnsi="Arial" w:cs="Arial"/>
              </w:rPr>
            </w:pPr>
          </w:p>
        </w:tc>
        <w:tc>
          <w:tcPr>
            <w:tcW w:w="3128" w:type="dxa"/>
          </w:tcPr>
          <w:p w14:paraId="32610201" w14:textId="77777777" w:rsidR="00635C96" w:rsidRPr="00524DB3" w:rsidRDefault="00635C96" w:rsidP="00524DB3">
            <w:pPr>
              <w:spacing w:after="0"/>
              <w:jc w:val="both"/>
              <w:rPr>
                <w:rFonts w:ascii="Arial" w:eastAsia="Times New Roman" w:hAnsi="Arial" w:cs="Arial"/>
              </w:rPr>
            </w:pPr>
            <w:r w:rsidRPr="00524DB3">
              <w:rPr>
                <w:rFonts w:ascii="Arial" w:eastAsia="Times New Roman" w:hAnsi="Arial" w:cs="Arial"/>
              </w:rPr>
              <w:t>$100’000,000.01 en adelante</w:t>
            </w:r>
          </w:p>
        </w:tc>
      </w:tr>
    </w:tbl>
    <w:p w14:paraId="078C0D67" w14:textId="77777777" w:rsidR="00635C96" w:rsidRPr="00524DB3" w:rsidRDefault="00635C96" w:rsidP="00524DB3">
      <w:pPr>
        <w:spacing w:after="0"/>
        <w:jc w:val="both"/>
        <w:rPr>
          <w:rFonts w:ascii="Arial" w:hAnsi="Arial" w:cs="Arial"/>
          <w:sz w:val="24"/>
          <w:szCs w:val="24"/>
        </w:rPr>
      </w:pPr>
    </w:p>
    <w:p w14:paraId="22EADCB8" w14:textId="0AD6983B" w:rsidR="00635C96" w:rsidRPr="00524DB3" w:rsidRDefault="00C10720" w:rsidP="00524DB3">
      <w:pPr>
        <w:spacing w:after="0"/>
        <w:jc w:val="both"/>
        <w:rPr>
          <w:rFonts w:ascii="Arial" w:hAnsi="Arial" w:cs="Arial"/>
          <w:sz w:val="24"/>
          <w:szCs w:val="24"/>
        </w:rPr>
      </w:pPr>
      <w:r w:rsidRPr="00524DB3">
        <w:rPr>
          <w:rFonts w:ascii="Arial" w:hAnsi="Arial" w:cs="Arial"/>
          <w:sz w:val="24"/>
          <w:szCs w:val="24"/>
        </w:rPr>
        <w:t xml:space="preserve">Acorde a lo anterior, este Instituto Electoral se clasifica como entidad Mediana, así, una vez </w:t>
      </w:r>
      <w:r w:rsidR="00635C96" w:rsidRPr="00524DB3">
        <w:rPr>
          <w:rFonts w:ascii="Arial" w:hAnsi="Arial" w:cs="Arial"/>
          <w:sz w:val="24"/>
          <w:szCs w:val="24"/>
        </w:rPr>
        <w:t>categorizada a la Entidad</w:t>
      </w:r>
      <w:r w:rsidR="00514FE8" w:rsidRPr="00524DB3">
        <w:rPr>
          <w:rFonts w:ascii="Arial" w:hAnsi="Arial" w:cs="Arial"/>
          <w:sz w:val="24"/>
          <w:szCs w:val="24"/>
        </w:rPr>
        <w:t xml:space="preserve"> </w:t>
      </w:r>
      <w:r w:rsidR="00635C96" w:rsidRPr="00524DB3">
        <w:rPr>
          <w:rFonts w:ascii="Arial" w:hAnsi="Arial" w:cs="Arial"/>
          <w:sz w:val="24"/>
          <w:szCs w:val="24"/>
        </w:rPr>
        <w:t xml:space="preserve">se multiplicarán los montos para cada uno de los procedimientos </w:t>
      </w:r>
      <w:r w:rsidRPr="00524DB3">
        <w:rPr>
          <w:rFonts w:ascii="Arial" w:hAnsi="Arial" w:cs="Arial"/>
          <w:sz w:val="24"/>
          <w:szCs w:val="24"/>
        </w:rPr>
        <w:t>de adjudicación</w:t>
      </w:r>
      <w:r w:rsidR="00635C96" w:rsidRPr="00524DB3">
        <w:rPr>
          <w:rFonts w:ascii="Arial" w:hAnsi="Arial" w:cs="Arial"/>
          <w:sz w:val="24"/>
          <w:szCs w:val="24"/>
        </w:rPr>
        <w:t xml:space="preserve"> por los factores que se muestran en la siguiente tabla: </w:t>
      </w:r>
    </w:p>
    <w:p w14:paraId="27225071" w14:textId="77777777" w:rsidR="00635C96" w:rsidRPr="00524DB3" w:rsidRDefault="00635C96" w:rsidP="00524DB3">
      <w:pPr>
        <w:spacing w:after="0"/>
        <w:jc w:val="both"/>
        <w:rPr>
          <w:rFonts w:ascii="Arial" w:hAnsi="Arial"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1985"/>
        <w:gridCol w:w="1985"/>
        <w:gridCol w:w="1887"/>
      </w:tblGrid>
      <w:tr w:rsidR="007454A0" w:rsidRPr="00524DB3" w14:paraId="13675498" w14:textId="77777777" w:rsidTr="007546E7">
        <w:trPr>
          <w:jc w:val="center"/>
        </w:trPr>
        <w:tc>
          <w:tcPr>
            <w:tcW w:w="1683" w:type="pct"/>
            <w:vAlign w:val="center"/>
          </w:tcPr>
          <w:p w14:paraId="6A74D178" w14:textId="77777777" w:rsidR="00635C96" w:rsidRPr="00524DB3" w:rsidRDefault="00635C96" w:rsidP="00524DB3">
            <w:pPr>
              <w:spacing w:after="0"/>
              <w:jc w:val="center"/>
              <w:rPr>
                <w:rFonts w:ascii="Arial" w:eastAsia="Times New Roman" w:hAnsi="Arial" w:cs="Arial"/>
                <w:b/>
              </w:rPr>
            </w:pPr>
            <w:r w:rsidRPr="00524DB3">
              <w:rPr>
                <w:rFonts w:ascii="Arial" w:eastAsia="Times New Roman" w:hAnsi="Arial" w:cs="Arial"/>
                <w:b/>
              </w:rPr>
              <w:t>Proceso</w:t>
            </w:r>
          </w:p>
        </w:tc>
        <w:tc>
          <w:tcPr>
            <w:tcW w:w="1124" w:type="pct"/>
            <w:vAlign w:val="center"/>
          </w:tcPr>
          <w:p w14:paraId="1E94E14E" w14:textId="77777777" w:rsidR="00635C96" w:rsidRPr="00524DB3" w:rsidRDefault="00635C96" w:rsidP="00524DB3">
            <w:pPr>
              <w:spacing w:after="0"/>
              <w:jc w:val="center"/>
              <w:rPr>
                <w:rFonts w:ascii="Arial" w:eastAsia="Times New Roman" w:hAnsi="Arial" w:cs="Arial"/>
                <w:b/>
              </w:rPr>
            </w:pPr>
            <w:r w:rsidRPr="00524DB3">
              <w:rPr>
                <w:rFonts w:ascii="Arial" w:eastAsia="Times New Roman" w:hAnsi="Arial" w:cs="Arial"/>
                <w:b/>
              </w:rPr>
              <w:t>Entidad</w:t>
            </w:r>
          </w:p>
          <w:p w14:paraId="509438B7" w14:textId="77777777" w:rsidR="00635C96" w:rsidRPr="00524DB3" w:rsidRDefault="00635C96" w:rsidP="00524DB3">
            <w:pPr>
              <w:spacing w:after="0"/>
              <w:jc w:val="center"/>
              <w:rPr>
                <w:rFonts w:ascii="Arial" w:eastAsia="Times New Roman" w:hAnsi="Arial" w:cs="Arial"/>
                <w:b/>
              </w:rPr>
            </w:pPr>
            <w:r w:rsidRPr="00524DB3">
              <w:rPr>
                <w:rFonts w:ascii="Arial" w:eastAsia="Times New Roman" w:hAnsi="Arial" w:cs="Arial"/>
                <w:b/>
              </w:rPr>
              <w:t>Pequeña</w:t>
            </w:r>
          </w:p>
        </w:tc>
        <w:tc>
          <w:tcPr>
            <w:tcW w:w="1124" w:type="pct"/>
            <w:vAlign w:val="center"/>
          </w:tcPr>
          <w:p w14:paraId="615093FA" w14:textId="77777777" w:rsidR="00635C96" w:rsidRPr="00524DB3" w:rsidRDefault="00635C96" w:rsidP="00524DB3">
            <w:pPr>
              <w:spacing w:after="0"/>
              <w:jc w:val="center"/>
              <w:rPr>
                <w:rFonts w:ascii="Arial" w:eastAsia="Times New Roman" w:hAnsi="Arial" w:cs="Arial"/>
                <w:b/>
              </w:rPr>
            </w:pPr>
            <w:r w:rsidRPr="00524DB3">
              <w:rPr>
                <w:rFonts w:ascii="Arial" w:eastAsia="Times New Roman" w:hAnsi="Arial" w:cs="Arial"/>
                <w:b/>
              </w:rPr>
              <w:t>Entidad</w:t>
            </w:r>
          </w:p>
          <w:p w14:paraId="6B49D34E" w14:textId="77777777" w:rsidR="00635C96" w:rsidRPr="00524DB3" w:rsidRDefault="00635C96" w:rsidP="00524DB3">
            <w:pPr>
              <w:spacing w:after="0"/>
              <w:jc w:val="center"/>
              <w:rPr>
                <w:rFonts w:ascii="Arial" w:eastAsia="Times New Roman" w:hAnsi="Arial" w:cs="Arial"/>
                <w:b/>
              </w:rPr>
            </w:pPr>
            <w:r w:rsidRPr="00524DB3">
              <w:rPr>
                <w:rFonts w:ascii="Arial" w:eastAsia="Times New Roman" w:hAnsi="Arial" w:cs="Arial"/>
                <w:b/>
              </w:rPr>
              <w:t>Mediana</w:t>
            </w:r>
          </w:p>
        </w:tc>
        <w:tc>
          <w:tcPr>
            <w:tcW w:w="1069" w:type="pct"/>
            <w:vAlign w:val="center"/>
          </w:tcPr>
          <w:p w14:paraId="0A3C5059" w14:textId="77777777" w:rsidR="00635C96" w:rsidRPr="00524DB3" w:rsidRDefault="00635C96" w:rsidP="00524DB3">
            <w:pPr>
              <w:spacing w:after="0"/>
              <w:jc w:val="center"/>
              <w:rPr>
                <w:rFonts w:ascii="Arial" w:eastAsia="Times New Roman" w:hAnsi="Arial" w:cs="Arial"/>
                <w:b/>
              </w:rPr>
            </w:pPr>
            <w:r w:rsidRPr="00524DB3">
              <w:rPr>
                <w:rFonts w:ascii="Arial" w:eastAsia="Times New Roman" w:hAnsi="Arial" w:cs="Arial"/>
                <w:b/>
              </w:rPr>
              <w:t>Entidad</w:t>
            </w:r>
          </w:p>
          <w:p w14:paraId="46E3274B" w14:textId="77777777" w:rsidR="00635C96" w:rsidRPr="00524DB3" w:rsidRDefault="00635C96" w:rsidP="00524DB3">
            <w:pPr>
              <w:spacing w:after="0"/>
              <w:jc w:val="center"/>
              <w:rPr>
                <w:rFonts w:ascii="Arial" w:eastAsia="Times New Roman" w:hAnsi="Arial" w:cs="Arial"/>
                <w:b/>
              </w:rPr>
            </w:pPr>
            <w:r w:rsidRPr="00524DB3">
              <w:rPr>
                <w:rFonts w:ascii="Arial" w:eastAsia="Times New Roman" w:hAnsi="Arial" w:cs="Arial"/>
                <w:b/>
              </w:rPr>
              <w:t>Grande</w:t>
            </w:r>
          </w:p>
        </w:tc>
      </w:tr>
      <w:tr w:rsidR="007454A0" w:rsidRPr="00524DB3" w14:paraId="041DB923" w14:textId="77777777" w:rsidTr="007546E7">
        <w:trPr>
          <w:jc w:val="center"/>
        </w:trPr>
        <w:tc>
          <w:tcPr>
            <w:tcW w:w="1683" w:type="pct"/>
            <w:vAlign w:val="center"/>
          </w:tcPr>
          <w:p w14:paraId="7E2517B8"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Adjudicación Directa</w:t>
            </w:r>
          </w:p>
        </w:tc>
        <w:tc>
          <w:tcPr>
            <w:tcW w:w="1124" w:type="pct"/>
            <w:vAlign w:val="center"/>
          </w:tcPr>
          <w:p w14:paraId="700BD923"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1</w:t>
            </w:r>
          </w:p>
        </w:tc>
        <w:tc>
          <w:tcPr>
            <w:tcW w:w="1124" w:type="pct"/>
            <w:vAlign w:val="center"/>
          </w:tcPr>
          <w:p w14:paraId="1196181E"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1</w:t>
            </w:r>
          </w:p>
        </w:tc>
        <w:tc>
          <w:tcPr>
            <w:tcW w:w="1069" w:type="pct"/>
            <w:vAlign w:val="center"/>
          </w:tcPr>
          <w:p w14:paraId="4627E8E0"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1</w:t>
            </w:r>
          </w:p>
        </w:tc>
      </w:tr>
      <w:tr w:rsidR="007454A0" w:rsidRPr="00524DB3" w14:paraId="51CECEFB" w14:textId="77777777" w:rsidTr="007546E7">
        <w:trPr>
          <w:jc w:val="center"/>
        </w:trPr>
        <w:tc>
          <w:tcPr>
            <w:tcW w:w="1683" w:type="pct"/>
            <w:vAlign w:val="center"/>
          </w:tcPr>
          <w:p w14:paraId="03542C71"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Licitación sin</w:t>
            </w:r>
          </w:p>
          <w:p w14:paraId="4F398B6B"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concurrencia del</w:t>
            </w:r>
          </w:p>
          <w:p w14:paraId="6DA673B1"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Comité</w:t>
            </w:r>
          </w:p>
        </w:tc>
        <w:tc>
          <w:tcPr>
            <w:tcW w:w="1124" w:type="pct"/>
            <w:vAlign w:val="center"/>
          </w:tcPr>
          <w:p w14:paraId="25B14CC1"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1/50</w:t>
            </w:r>
          </w:p>
        </w:tc>
        <w:tc>
          <w:tcPr>
            <w:tcW w:w="1124" w:type="pct"/>
            <w:vAlign w:val="center"/>
          </w:tcPr>
          <w:p w14:paraId="1DDA60E8"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1/25</w:t>
            </w:r>
          </w:p>
        </w:tc>
        <w:tc>
          <w:tcPr>
            <w:tcW w:w="1069" w:type="pct"/>
            <w:vAlign w:val="center"/>
          </w:tcPr>
          <w:p w14:paraId="5DC4611F"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7/50</w:t>
            </w:r>
          </w:p>
        </w:tc>
      </w:tr>
      <w:tr w:rsidR="007454A0" w:rsidRPr="00524DB3" w14:paraId="598D8608" w14:textId="77777777" w:rsidTr="007546E7">
        <w:trPr>
          <w:jc w:val="center"/>
        </w:trPr>
        <w:tc>
          <w:tcPr>
            <w:tcW w:w="1683" w:type="pct"/>
            <w:vAlign w:val="center"/>
          </w:tcPr>
          <w:p w14:paraId="05E76288"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Licitación con</w:t>
            </w:r>
          </w:p>
          <w:p w14:paraId="18BBABBD"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concurrencia del</w:t>
            </w:r>
          </w:p>
          <w:p w14:paraId="72B82B34"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Comité</w:t>
            </w:r>
          </w:p>
        </w:tc>
        <w:tc>
          <w:tcPr>
            <w:tcW w:w="1124" w:type="pct"/>
            <w:vAlign w:val="center"/>
          </w:tcPr>
          <w:p w14:paraId="24390D93" w14:textId="41C302B9"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En</w:t>
            </w:r>
            <w:r w:rsidR="007454A0">
              <w:rPr>
                <w:rFonts w:ascii="Arial" w:eastAsia="Times New Roman" w:hAnsi="Arial" w:cs="Arial"/>
              </w:rPr>
              <w:t xml:space="preserve"> adelante</w:t>
            </w:r>
          </w:p>
        </w:tc>
        <w:tc>
          <w:tcPr>
            <w:tcW w:w="1124" w:type="pct"/>
            <w:vAlign w:val="center"/>
          </w:tcPr>
          <w:p w14:paraId="3BCA8D94"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En adelante</w:t>
            </w:r>
          </w:p>
        </w:tc>
        <w:tc>
          <w:tcPr>
            <w:tcW w:w="1069" w:type="pct"/>
            <w:vAlign w:val="center"/>
          </w:tcPr>
          <w:p w14:paraId="64A6440D" w14:textId="77777777" w:rsidR="00635C96" w:rsidRPr="00524DB3" w:rsidRDefault="00635C96" w:rsidP="00524DB3">
            <w:pPr>
              <w:spacing w:after="0"/>
              <w:jc w:val="center"/>
              <w:rPr>
                <w:rFonts w:ascii="Arial" w:eastAsia="Times New Roman" w:hAnsi="Arial" w:cs="Arial"/>
              </w:rPr>
            </w:pPr>
            <w:r w:rsidRPr="00524DB3">
              <w:rPr>
                <w:rFonts w:ascii="Arial" w:eastAsia="Times New Roman" w:hAnsi="Arial" w:cs="Arial"/>
              </w:rPr>
              <w:t>En adelante</w:t>
            </w:r>
          </w:p>
        </w:tc>
      </w:tr>
    </w:tbl>
    <w:p w14:paraId="0463C29A" w14:textId="659AC7DA" w:rsidR="00635C96" w:rsidRPr="00524DB3" w:rsidRDefault="00635C96" w:rsidP="00524DB3">
      <w:pPr>
        <w:spacing w:after="0"/>
        <w:jc w:val="both"/>
        <w:rPr>
          <w:rFonts w:ascii="Arial" w:hAnsi="Arial" w:cs="Arial"/>
          <w:sz w:val="24"/>
          <w:szCs w:val="24"/>
        </w:rPr>
      </w:pPr>
    </w:p>
    <w:p w14:paraId="5869C65E" w14:textId="7808C098" w:rsidR="007B1C24" w:rsidRDefault="00514FE8" w:rsidP="000B2A34">
      <w:pPr>
        <w:spacing w:after="0"/>
        <w:ind w:right="49"/>
        <w:jc w:val="both"/>
        <w:rPr>
          <w:rFonts w:ascii="Arial" w:hAnsi="Arial" w:cs="Arial"/>
          <w:sz w:val="24"/>
          <w:szCs w:val="24"/>
          <w:highlight w:val="cyan"/>
        </w:rPr>
      </w:pPr>
      <w:r w:rsidRPr="00524DB3">
        <w:rPr>
          <w:rFonts w:ascii="Arial" w:hAnsi="Arial" w:cs="Arial"/>
          <w:sz w:val="24"/>
          <w:szCs w:val="24"/>
        </w:rPr>
        <w:t>De esta manera, los montos de cada uno de los procedimientos de adquisición de bienes, servicios o arrendamientos sujetos a licitación para el ejercicio fiscal dos mil veinti</w:t>
      </w:r>
      <w:r w:rsidR="00664653">
        <w:rPr>
          <w:rFonts w:ascii="Arial" w:hAnsi="Arial" w:cs="Arial"/>
          <w:sz w:val="24"/>
          <w:szCs w:val="24"/>
        </w:rPr>
        <w:t>trés</w:t>
      </w:r>
      <w:r w:rsidRPr="00524DB3">
        <w:rPr>
          <w:rFonts w:ascii="Arial" w:hAnsi="Arial" w:cs="Arial"/>
          <w:sz w:val="24"/>
          <w:szCs w:val="24"/>
        </w:rPr>
        <w:t xml:space="preserve"> son los siguientes:</w:t>
      </w:r>
    </w:p>
    <w:p w14:paraId="35E080C4" w14:textId="72CBB98E" w:rsidR="001646B3" w:rsidRDefault="001646B3" w:rsidP="00C373CF">
      <w:pPr>
        <w:spacing w:after="0"/>
        <w:rPr>
          <w:rFonts w:ascii="Arial" w:hAnsi="Arial" w:cs="Arial"/>
          <w:bCs/>
          <w:sz w:val="24"/>
          <w:szCs w:val="24"/>
          <w:lang w:eastAsia="ar-SA"/>
        </w:rPr>
      </w:pPr>
    </w:p>
    <w:p w14:paraId="7B82E05E" w14:textId="35C3234A" w:rsidR="001646B3" w:rsidRDefault="005C3957" w:rsidP="00524DB3">
      <w:pPr>
        <w:spacing w:after="0"/>
        <w:jc w:val="both"/>
        <w:rPr>
          <w:rFonts w:ascii="Arial" w:hAnsi="Arial" w:cs="Arial"/>
          <w:bCs/>
          <w:sz w:val="24"/>
          <w:szCs w:val="24"/>
          <w:lang w:eastAsia="ar-SA"/>
        </w:rPr>
      </w:pPr>
      <w:r w:rsidRPr="005C3957">
        <w:rPr>
          <w:noProof/>
        </w:rPr>
        <w:lastRenderedPageBreak/>
        <w:drawing>
          <wp:inline distT="0" distB="0" distL="0" distR="0" wp14:anchorId="032FEBB5" wp14:editId="20EC0E24">
            <wp:extent cx="5612130" cy="2496827"/>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496827"/>
                    </a:xfrm>
                    <a:prstGeom prst="rect">
                      <a:avLst/>
                    </a:prstGeom>
                    <a:noFill/>
                    <a:ln>
                      <a:noFill/>
                    </a:ln>
                  </pic:spPr>
                </pic:pic>
              </a:graphicData>
            </a:graphic>
          </wp:inline>
        </w:drawing>
      </w:r>
    </w:p>
    <w:p w14:paraId="0C9A6FFB" w14:textId="77777777" w:rsidR="00C373CF" w:rsidRDefault="00C373CF" w:rsidP="00524DB3">
      <w:pPr>
        <w:spacing w:after="0"/>
        <w:jc w:val="both"/>
        <w:rPr>
          <w:rFonts w:ascii="Arial" w:hAnsi="Arial" w:cs="Arial"/>
          <w:bCs/>
          <w:sz w:val="24"/>
          <w:szCs w:val="24"/>
          <w:lang w:eastAsia="ar-SA"/>
        </w:rPr>
      </w:pPr>
    </w:p>
    <w:p w14:paraId="36AB2AE3" w14:textId="44E00D0A" w:rsidR="005A1890" w:rsidRPr="00524DB3" w:rsidRDefault="000154EA" w:rsidP="00524DB3">
      <w:pPr>
        <w:spacing w:after="0"/>
        <w:jc w:val="both"/>
        <w:rPr>
          <w:rFonts w:ascii="Arial" w:hAnsi="Arial" w:cs="Arial"/>
          <w:sz w:val="24"/>
          <w:szCs w:val="24"/>
          <w:lang w:eastAsia="es-ES"/>
        </w:rPr>
      </w:pPr>
      <w:r w:rsidRPr="00524DB3">
        <w:rPr>
          <w:rFonts w:ascii="Arial" w:hAnsi="Arial" w:cs="Arial"/>
          <w:bCs/>
          <w:sz w:val="24"/>
          <w:szCs w:val="24"/>
          <w:lang w:eastAsia="ar-SA"/>
        </w:rPr>
        <w:t>D</w:t>
      </w:r>
      <w:r w:rsidR="002B2040" w:rsidRPr="00524DB3">
        <w:rPr>
          <w:rFonts w:ascii="Arial" w:hAnsi="Arial" w:cs="Arial"/>
          <w:bCs/>
          <w:sz w:val="24"/>
          <w:szCs w:val="24"/>
          <w:lang w:eastAsia="ar-SA"/>
        </w:rPr>
        <w:t>e conformidad a lo establecido</w:t>
      </w:r>
      <w:r w:rsidR="00243E5C" w:rsidRPr="00524DB3">
        <w:rPr>
          <w:rFonts w:ascii="Arial" w:hAnsi="Arial" w:cs="Arial"/>
          <w:bCs/>
          <w:sz w:val="24"/>
          <w:szCs w:val="24"/>
          <w:lang w:eastAsia="ar-SA"/>
        </w:rPr>
        <w:t xml:space="preserve"> con antelación, </w:t>
      </w:r>
      <w:r w:rsidR="00B96A5E">
        <w:rPr>
          <w:rFonts w:ascii="Arial" w:hAnsi="Arial" w:cs="Arial"/>
          <w:bCs/>
          <w:sz w:val="24"/>
          <w:szCs w:val="24"/>
          <w:lang w:eastAsia="ar-SA"/>
        </w:rPr>
        <w:t xml:space="preserve">y </w:t>
      </w:r>
      <w:r w:rsidR="00243E5C" w:rsidRPr="00524DB3">
        <w:rPr>
          <w:rFonts w:ascii="Arial" w:hAnsi="Arial" w:cs="Arial"/>
          <w:bCs/>
          <w:sz w:val="24"/>
          <w:szCs w:val="24"/>
          <w:lang w:eastAsia="ar-SA"/>
        </w:rPr>
        <w:t xml:space="preserve">con fundamento </w:t>
      </w:r>
      <w:r w:rsidR="002B2040" w:rsidRPr="00524DB3">
        <w:rPr>
          <w:rFonts w:ascii="Arial" w:hAnsi="Arial" w:cs="Arial"/>
          <w:bCs/>
          <w:sz w:val="24"/>
          <w:szCs w:val="24"/>
          <w:lang w:eastAsia="ar-SA"/>
        </w:rPr>
        <w:t>en el artículo 1</w:t>
      </w:r>
      <w:r w:rsidR="00E64F2C" w:rsidRPr="00524DB3">
        <w:rPr>
          <w:rFonts w:ascii="Arial" w:hAnsi="Arial" w:cs="Arial"/>
          <w:bCs/>
          <w:sz w:val="24"/>
          <w:szCs w:val="24"/>
          <w:lang w:eastAsia="ar-SA"/>
        </w:rPr>
        <w:t>4</w:t>
      </w:r>
      <w:r w:rsidR="002B2040" w:rsidRPr="00524DB3">
        <w:rPr>
          <w:rFonts w:ascii="Arial" w:hAnsi="Arial" w:cs="Arial"/>
          <w:bCs/>
          <w:sz w:val="24"/>
          <w:szCs w:val="24"/>
          <w:lang w:eastAsia="ar-SA"/>
        </w:rPr>
        <w:t>, párrafo 1</w:t>
      </w:r>
      <w:r w:rsidR="00664653">
        <w:rPr>
          <w:rFonts w:ascii="Arial" w:hAnsi="Arial" w:cs="Arial"/>
          <w:bCs/>
          <w:sz w:val="24"/>
          <w:szCs w:val="24"/>
          <w:lang w:eastAsia="ar-SA"/>
        </w:rPr>
        <w:t>,</w:t>
      </w:r>
      <w:r w:rsidR="002B2040" w:rsidRPr="00524DB3">
        <w:rPr>
          <w:rFonts w:ascii="Arial" w:hAnsi="Arial" w:cs="Arial"/>
          <w:bCs/>
          <w:sz w:val="24"/>
          <w:szCs w:val="24"/>
          <w:lang w:eastAsia="ar-SA"/>
        </w:rPr>
        <w:t xml:space="preserve"> del </w:t>
      </w:r>
      <w:r w:rsidR="00F17023" w:rsidRPr="00524DB3">
        <w:rPr>
          <w:rFonts w:ascii="Arial" w:hAnsi="Arial" w:cs="Arial"/>
          <w:sz w:val="24"/>
          <w:szCs w:val="24"/>
        </w:rPr>
        <w:t xml:space="preserve">Reglamento </w:t>
      </w:r>
      <w:r w:rsidR="00D02C28" w:rsidRPr="00524DB3">
        <w:rPr>
          <w:rFonts w:ascii="Arial" w:hAnsi="Arial" w:cs="Arial"/>
          <w:sz w:val="24"/>
          <w:szCs w:val="24"/>
        </w:rPr>
        <w:t>Interior</w:t>
      </w:r>
      <w:r w:rsidR="00A71B2D" w:rsidRPr="00524DB3">
        <w:rPr>
          <w:rFonts w:ascii="Arial" w:hAnsi="Arial" w:cs="Arial"/>
          <w:sz w:val="24"/>
          <w:szCs w:val="24"/>
        </w:rPr>
        <w:t xml:space="preserve"> del Comité</w:t>
      </w:r>
      <w:r w:rsidR="00F17023" w:rsidRPr="00524DB3">
        <w:rPr>
          <w:rFonts w:ascii="Arial" w:hAnsi="Arial" w:cs="Arial"/>
          <w:sz w:val="24"/>
          <w:szCs w:val="24"/>
        </w:rPr>
        <w:t xml:space="preserve"> de </w:t>
      </w:r>
      <w:r w:rsidR="005A1890" w:rsidRPr="00524DB3">
        <w:rPr>
          <w:rFonts w:ascii="Arial" w:hAnsi="Arial" w:cs="Arial"/>
          <w:sz w:val="24"/>
          <w:szCs w:val="24"/>
        </w:rPr>
        <w:t>A</w:t>
      </w:r>
      <w:r w:rsidR="00F17023" w:rsidRPr="00524DB3">
        <w:rPr>
          <w:rFonts w:ascii="Arial" w:hAnsi="Arial" w:cs="Arial"/>
          <w:sz w:val="24"/>
          <w:szCs w:val="24"/>
        </w:rPr>
        <w:t xml:space="preserve">dquisiciones y </w:t>
      </w:r>
      <w:r w:rsidR="001E34AF" w:rsidRPr="00524DB3">
        <w:rPr>
          <w:rFonts w:ascii="Arial" w:hAnsi="Arial" w:cs="Arial"/>
          <w:sz w:val="24"/>
          <w:szCs w:val="24"/>
        </w:rPr>
        <w:t>E</w:t>
      </w:r>
      <w:r w:rsidR="00F17023" w:rsidRPr="00524DB3">
        <w:rPr>
          <w:rFonts w:ascii="Arial" w:hAnsi="Arial" w:cs="Arial"/>
          <w:sz w:val="24"/>
          <w:szCs w:val="24"/>
        </w:rPr>
        <w:t>najenaciones del Instituto Electoral y de Participación Ciudadana del Estado de Jalisco</w:t>
      </w:r>
      <w:r w:rsidR="00A71B2D" w:rsidRPr="00524DB3">
        <w:rPr>
          <w:rFonts w:ascii="Arial" w:hAnsi="Arial" w:cs="Arial"/>
          <w:sz w:val="24"/>
          <w:szCs w:val="24"/>
        </w:rPr>
        <w:t xml:space="preserve"> y demás órganos participantes en los procesos de adquisición y enajenación</w:t>
      </w:r>
      <w:r w:rsidR="002B2040" w:rsidRPr="00524DB3">
        <w:rPr>
          <w:rFonts w:ascii="Arial" w:hAnsi="Arial" w:cs="Arial"/>
          <w:bCs/>
          <w:sz w:val="24"/>
          <w:szCs w:val="24"/>
          <w:lang w:eastAsia="ar-SA"/>
        </w:rPr>
        <w:t xml:space="preserve">, </w:t>
      </w:r>
      <w:r w:rsidR="005C7D98" w:rsidRPr="00524DB3">
        <w:rPr>
          <w:rFonts w:ascii="Arial" w:hAnsi="Arial" w:cs="Arial"/>
          <w:bCs/>
          <w:sz w:val="24"/>
          <w:szCs w:val="24"/>
          <w:lang w:eastAsia="ar-SA"/>
        </w:rPr>
        <w:t>se somete a la consideración del Consejo General</w:t>
      </w:r>
      <w:r w:rsidR="002B2040" w:rsidRPr="00524DB3">
        <w:rPr>
          <w:rFonts w:ascii="Arial" w:hAnsi="Arial" w:cs="Arial"/>
          <w:bCs/>
          <w:sz w:val="24"/>
          <w:szCs w:val="24"/>
          <w:lang w:eastAsia="ar-SA"/>
        </w:rPr>
        <w:t xml:space="preserve"> para </w:t>
      </w:r>
      <w:r w:rsidR="005C7D98" w:rsidRPr="00524DB3">
        <w:rPr>
          <w:rFonts w:ascii="Arial" w:hAnsi="Arial" w:cs="Arial"/>
          <w:bCs/>
          <w:sz w:val="24"/>
          <w:szCs w:val="24"/>
          <w:lang w:eastAsia="ar-SA"/>
        </w:rPr>
        <w:t xml:space="preserve">su </w:t>
      </w:r>
      <w:r w:rsidR="002B2040" w:rsidRPr="00524DB3">
        <w:rPr>
          <w:rFonts w:ascii="Arial" w:hAnsi="Arial" w:cs="Arial"/>
          <w:bCs/>
          <w:sz w:val="24"/>
          <w:szCs w:val="24"/>
          <w:lang w:eastAsia="ar-SA"/>
        </w:rPr>
        <w:t>análisis, discusión y</w:t>
      </w:r>
      <w:r w:rsidR="00EC0D93">
        <w:rPr>
          <w:rFonts w:ascii="Arial" w:hAnsi="Arial" w:cs="Arial"/>
          <w:bCs/>
          <w:sz w:val="24"/>
          <w:szCs w:val="24"/>
          <w:lang w:eastAsia="ar-SA"/>
        </w:rPr>
        <w:t>,</w:t>
      </w:r>
      <w:r w:rsidR="002B2040" w:rsidRPr="00524DB3">
        <w:rPr>
          <w:rFonts w:ascii="Arial" w:hAnsi="Arial" w:cs="Arial"/>
          <w:bCs/>
          <w:sz w:val="24"/>
          <w:szCs w:val="24"/>
          <w:lang w:eastAsia="ar-SA"/>
        </w:rPr>
        <w:t xml:space="preserve"> en su caso aprobación, </w:t>
      </w:r>
      <w:r w:rsidR="00B96A5E">
        <w:rPr>
          <w:rFonts w:ascii="Arial" w:hAnsi="Arial" w:cs="Arial"/>
          <w:bCs/>
          <w:sz w:val="24"/>
          <w:szCs w:val="24"/>
          <w:lang w:eastAsia="ar-SA"/>
        </w:rPr>
        <w:t>el Programa Anual de Adquisiciones, Arrendamientos y S</w:t>
      </w:r>
      <w:r w:rsidR="00B96A5E" w:rsidRPr="00B96A5E">
        <w:rPr>
          <w:rFonts w:ascii="Arial" w:hAnsi="Arial" w:cs="Arial"/>
          <w:bCs/>
          <w:sz w:val="24"/>
          <w:szCs w:val="24"/>
          <w:lang w:eastAsia="ar-SA"/>
        </w:rPr>
        <w:t>ervicios de este organismo electoral, para el ejercicio dos mil veintitrés</w:t>
      </w:r>
      <w:r w:rsidR="00B96A5E">
        <w:rPr>
          <w:rFonts w:ascii="Arial" w:hAnsi="Arial" w:cs="Arial"/>
          <w:bCs/>
          <w:sz w:val="24"/>
          <w:szCs w:val="24"/>
          <w:lang w:eastAsia="ar-SA"/>
        </w:rPr>
        <w:t xml:space="preserve">, </w:t>
      </w:r>
      <w:r w:rsidR="002B2040" w:rsidRPr="00524DB3">
        <w:rPr>
          <w:rFonts w:ascii="Arial" w:hAnsi="Arial" w:cs="Arial"/>
          <w:bCs/>
          <w:sz w:val="24"/>
          <w:szCs w:val="24"/>
          <w:lang w:eastAsia="ar-SA"/>
        </w:rPr>
        <w:t>en términos de</w:t>
      </w:r>
      <w:r w:rsidR="002B2040" w:rsidRPr="00524DB3">
        <w:rPr>
          <w:rFonts w:ascii="Arial" w:hAnsi="Arial" w:cs="Arial"/>
          <w:sz w:val="24"/>
          <w:szCs w:val="24"/>
          <w:lang w:eastAsia="es-ES"/>
        </w:rPr>
        <w:t xml:space="preserve">l </w:t>
      </w:r>
      <w:r w:rsidR="00B96A5E" w:rsidRPr="00DA1830">
        <w:rPr>
          <w:rFonts w:ascii="Arial" w:hAnsi="Arial" w:cs="Arial"/>
          <w:b/>
          <w:bCs/>
          <w:sz w:val="24"/>
          <w:szCs w:val="24"/>
          <w:lang w:eastAsia="es-ES"/>
        </w:rPr>
        <w:t>ANEXO</w:t>
      </w:r>
      <w:r w:rsidR="00B96A5E" w:rsidRPr="00524DB3">
        <w:rPr>
          <w:rFonts w:ascii="Arial" w:hAnsi="Arial" w:cs="Arial"/>
          <w:sz w:val="24"/>
          <w:szCs w:val="24"/>
          <w:lang w:eastAsia="es-ES"/>
        </w:rPr>
        <w:t xml:space="preserve"> </w:t>
      </w:r>
      <w:r w:rsidR="002B2040" w:rsidRPr="00524DB3">
        <w:rPr>
          <w:rFonts w:ascii="Arial" w:hAnsi="Arial" w:cs="Arial"/>
          <w:sz w:val="24"/>
          <w:szCs w:val="24"/>
          <w:lang w:eastAsia="es-ES"/>
        </w:rPr>
        <w:t>que se acompaña a este acuerdo y que</w:t>
      </w:r>
      <w:r w:rsidRPr="00524DB3">
        <w:rPr>
          <w:rFonts w:ascii="Arial" w:hAnsi="Arial" w:cs="Arial"/>
          <w:sz w:val="24"/>
          <w:szCs w:val="24"/>
          <w:lang w:eastAsia="es-ES"/>
        </w:rPr>
        <w:t xml:space="preserve"> forma parte integra</w:t>
      </w:r>
      <w:r w:rsidR="00F17023" w:rsidRPr="00524DB3">
        <w:rPr>
          <w:rFonts w:ascii="Arial" w:hAnsi="Arial" w:cs="Arial"/>
          <w:sz w:val="24"/>
          <w:szCs w:val="24"/>
          <w:lang w:eastAsia="es-ES"/>
        </w:rPr>
        <w:t>nte</w:t>
      </w:r>
      <w:r w:rsidRPr="00524DB3">
        <w:rPr>
          <w:rFonts w:ascii="Arial" w:hAnsi="Arial" w:cs="Arial"/>
          <w:sz w:val="24"/>
          <w:szCs w:val="24"/>
          <w:lang w:eastAsia="es-ES"/>
        </w:rPr>
        <w:t xml:space="preserve"> del mismo</w:t>
      </w:r>
      <w:r w:rsidR="005A1890" w:rsidRPr="00524DB3">
        <w:rPr>
          <w:rFonts w:ascii="Arial" w:hAnsi="Arial" w:cs="Arial"/>
          <w:sz w:val="24"/>
          <w:szCs w:val="24"/>
          <w:lang w:eastAsia="es-ES"/>
        </w:rPr>
        <w:t>.</w:t>
      </w:r>
      <w:r w:rsidR="00C76B41" w:rsidRPr="00524DB3">
        <w:rPr>
          <w:rFonts w:ascii="Arial" w:hAnsi="Arial" w:cs="Arial"/>
          <w:sz w:val="24"/>
          <w:szCs w:val="24"/>
          <w:lang w:eastAsia="es-ES"/>
        </w:rPr>
        <w:t xml:space="preserve"> </w:t>
      </w:r>
    </w:p>
    <w:p w14:paraId="5F992699" w14:textId="77777777" w:rsidR="005A1890" w:rsidRPr="00524DB3" w:rsidRDefault="005A1890" w:rsidP="00524DB3">
      <w:pPr>
        <w:spacing w:after="0"/>
        <w:jc w:val="both"/>
        <w:rPr>
          <w:rFonts w:ascii="Arial" w:hAnsi="Arial" w:cs="Arial"/>
          <w:sz w:val="24"/>
          <w:szCs w:val="24"/>
          <w:lang w:eastAsia="es-ES"/>
        </w:rPr>
      </w:pPr>
    </w:p>
    <w:p w14:paraId="116A9726" w14:textId="6D3F3BEA" w:rsidR="00C40232" w:rsidRDefault="005A1890" w:rsidP="00524DB3">
      <w:pPr>
        <w:spacing w:after="0"/>
        <w:jc w:val="both"/>
        <w:rPr>
          <w:rFonts w:ascii="Arial" w:eastAsia="Times New Roman" w:hAnsi="Arial" w:cs="Arial"/>
          <w:sz w:val="24"/>
          <w:szCs w:val="24"/>
          <w:lang w:eastAsia="es-ES"/>
        </w:rPr>
      </w:pPr>
      <w:r w:rsidRPr="00524DB3">
        <w:rPr>
          <w:rFonts w:ascii="Arial" w:hAnsi="Arial" w:cs="Arial"/>
          <w:sz w:val="24"/>
          <w:szCs w:val="24"/>
          <w:lang w:eastAsia="es-ES"/>
        </w:rPr>
        <w:t xml:space="preserve">Cabe señalar que el </w:t>
      </w:r>
      <w:r w:rsidR="00C40232" w:rsidRPr="00524DB3">
        <w:rPr>
          <w:rFonts w:ascii="Arial" w:eastAsia="Times New Roman" w:hAnsi="Arial" w:cs="Arial"/>
          <w:sz w:val="24"/>
          <w:szCs w:val="24"/>
          <w:lang w:eastAsia="es-ES"/>
        </w:rPr>
        <w:t xml:space="preserve">programa anual </w:t>
      </w:r>
      <w:r w:rsidR="007454A0">
        <w:rPr>
          <w:rFonts w:ascii="Arial" w:eastAsia="Times New Roman" w:hAnsi="Arial" w:cs="Arial"/>
          <w:sz w:val="24"/>
          <w:szCs w:val="24"/>
          <w:lang w:eastAsia="es-ES"/>
        </w:rPr>
        <w:t xml:space="preserve">que se propone </w:t>
      </w:r>
      <w:r w:rsidR="00C40232" w:rsidRPr="00524DB3">
        <w:rPr>
          <w:rFonts w:ascii="Arial" w:eastAsia="Times New Roman" w:hAnsi="Arial" w:cs="Arial"/>
          <w:sz w:val="24"/>
          <w:szCs w:val="24"/>
          <w:lang w:eastAsia="es-ES"/>
        </w:rPr>
        <w:t>est</w:t>
      </w:r>
      <w:r w:rsidR="00F17023" w:rsidRPr="00524DB3">
        <w:rPr>
          <w:rFonts w:ascii="Arial" w:eastAsia="Times New Roman" w:hAnsi="Arial" w:cs="Arial"/>
          <w:sz w:val="24"/>
          <w:szCs w:val="24"/>
          <w:lang w:eastAsia="es-ES"/>
        </w:rPr>
        <w:t>á</w:t>
      </w:r>
      <w:r w:rsidR="00C40232" w:rsidRPr="00524DB3">
        <w:rPr>
          <w:rFonts w:ascii="Arial" w:eastAsia="Times New Roman" w:hAnsi="Arial" w:cs="Arial"/>
          <w:sz w:val="24"/>
          <w:szCs w:val="24"/>
          <w:lang w:eastAsia="es-ES"/>
        </w:rPr>
        <w:t xml:space="preserve"> sujeto </w:t>
      </w:r>
      <w:r w:rsidR="007B2131" w:rsidRPr="00524DB3">
        <w:rPr>
          <w:rFonts w:ascii="Arial" w:eastAsia="Times New Roman" w:hAnsi="Arial" w:cs="Arial"/>
          <w:sz w:val="24"/>
          <w:szCs w:val="24"/>
          <w:lang w:eastAsia="es-ES"/>
        </w:rPr>
        <w:t>a la suficiencia presupuestal</w:t>
      </w:r>
      <w:r w:rsidR="00D8261B" w:rsidRPr="00524DB3">
        <w:rPr>
          <w:rFonts w:ascii="Arial" w:eastAsia="Times New Roman" w:hAnsi="Arial" w:cs="Arial"/>
          <w:sz w:val="24"/>
          <w:szCs w:val="24"/>
          <w:lang w:eastAsia="es-ES"/>
        </w:rPr>
        <w:t xml:space="preserve">, así como </w:t>
      </w:r>
      <w:r w:rsidR="00C40232" w:rsidRPr="00524DB3">
        <w:rPr>
          <w:rFonts w:ascii="Arial" w:eastAsia="Times New Roman" w:hAnsi="Arial" w:cs="Arial"/>
          <w:sz w:val="24"/>
          <w:szCs w:val="24"/>
          <w:lang w:eastAsia="es-ES"/>
        </w:rPr>
        <w:t xml:space="preserve">a </w:t>
      </w:r>
      <w:r w:rsidRPr="00524DB3">
        <w:rPr>
          <w:rFonts w:ascii="Arial" w:eastAsia="Times New Roman" w:hAnsi="Arial" w:cs="Arial"/>
          <w:sz w:val="24"/>
          <w:szCs w:val="24"/>
          <w:lang w:eastAsia="es-ES"/>
        </w:rPr>
        <w:t xml:space="preserve">las </w:t>
      </w:r>
      <w:r w:rsidR="00C40232" w:rsidRPr="00524DB3">
        <w:rPr>
          <w:rFonts w:ascii="Arial" w:eastAsia="Times New Roman" w:hAnsi="Arial" w:cs="Arial"/>
          <w:sz w:val="24"/>
          <w:szCs w:val="24"/>
          <w:lang w:eastAsia="es-ES"/>
        </w:rPr>
        <w:t xml:space="preserve">posibles eventualidades que </w:t>
      </w:r>
      <w:r w:rsidR="000D6BB3" w:rsidRPr="00524DB3">
        <w:rPr>
          <w:rFonts w:ascii="Arial" w:eastAsia="Times New Roman" w:hAnsi="Arial" w:cs="Arial"/>
          <w:sz w:val="24"/>
          <w:szCs w:val="24"/>
          <w:lang w:eastAsia="es-ES"/>
        </w:rPr>
        <w:t>l</w:t>
      </w:r>
      <w:r w:rsidR="00664653">
        <w:rPr>
          <w:rFonts w:ascii="Arial" w:eastAsia="Times New Roman" w:hAnsi="Arial" w:cs="Arial"/>
          <w:sz w:val="24"/>
          <w:szCs w:val="24"/>
          <w:lang w:eastAsia="es-ES"/>
        </w:rPr>
        <w:t>o</w:t>
      </w:r>
      <w:r w:rsidR="000D6BB3" w:rsidRPr="00524DB3">
        <w:rPr>
          <w:rFonts w:ascii="Arial" w:eastAsia="Times New Roman" w:hAnsi="Arial" w:cs="Arial"/>
          <w:sz w:val="24"/>
          <w:szCs w:val="24"/>
          <w:lang w:eastAsia="es-ES"/>
        </w:rPr>
        <w:t xml:space="preserve"> impacten</w:t>
      </w:r>
      <w:r w:rsidR="009B2CB0">
        <w:rPr>
          <w:rFonts w:ascii="Arial" w:eastAsia="Times New Roman" w:hAnsi="Arial" w:cs="Arial"/>
          <w:sz w:val="24"/>
          <w:szCs w:val="24"/>
          <w:lang w:eastAsia="es-ES"/>
        </w:rPr>
        <w:t>, en cuyo caso se actualizará</w:t>
      </w:r>
      <w:r w:rsidR="00C40232" w:rsidRPr="00524DB3">
        <w:rPr>
          <w:rFonts w:ascii="Arial" w:eastAsia="Times New Roman" w:hAnsi="Arial" w:cs="Arial"/>
          <w:sz w:val="24"/>
          <w:szCs w:val="24"/>
          <w:lang w:eastAsia="es-ES"/>
        </w:rPr>
        <w:t>.</w:t>
      </w:r>
    </w:p>
    <w:p w14:paraId="2DEA7DF7" w14:textId="77777777" w:rsidR="002E3B16" w:rsidRDefault="002E3B16" w:rsidP="00524DB3">
      <w:pPr>
        <w:spacing w:after="0"/>
        <w:jc w:val="both"/>
        <w:rPr>
          <w:rFonts w:ascii="Arial" w:eastAsia="Times New Roman" w:hAnsi="Arial" w:cs="Arial"/>
          <w:sz w:val="24"/>
          <w:szCs w:val="24"/>
          <w:lang w:eastAsia="es-ES"/>
        </w:rPr>
      </w:pPr>
    </w:p>
    <w:p w14:paraId="1974E37E" w14:textId="00BE514C" w:rsidR="00854C6E" w:rsidRPr="00524DB3" w:rsidRDefault="00B96A5E" w:rsidP="00854C6E">
      <w:pPr>
        <w:spacing w:after="0"/>
        <w:jc w:val="both"/>
        <w:rPr>
          <w:rFonts w:ascii="Arial" w:eastAsia="Times New Roman" w:hAnsi="Arial" w:cs="Arial"/>
          <w:sz w:val="24"/>
          <w:szCs w:val="24"/>
          <w:lang w:eastAsia="es-ES"/>
        </w:rPr>
      </w:pPr>
      <w:r w:rsidRPr="00B96A5E">
        <w:rPr>
          <w:rFonts w:ascii="Arial" w:eastAsia="Times New Roman" w:hAnsi="Arial" w:cs="Arial"/>
          <w:sz w:val="24"/>
          <w:szCs w:val="24"/>
          <w:lang w:eastAsia="es-ES"/>
        </w:rPr>
        <w:t xml:space="preserve">En otro orden de ideas, </w:t>
      </w:r>
      <w:r>
        <w:rPr>
          <w:rFonts w:ascii="Arial" w:eastAsia="Times New Roman" w:hAnsi="Arial" w:cs="Arial"/>
          <w:sz w:val="24"/>
          <w:szCs w:val="24"/>
          <w:lang w:eastAsia="es-ES"/>
        </w:rPr>
        <w:t>y d</w:t>
      </w:r>
      <w:r w:rsidR="00854C6E" w:rsidRPr="00CE5121">
        <w:rPr>
          <w:rFonts w:ascii="Arial" w:eastAsia="Times New Roman" w:hAnsi="Arial" w:cs="Arial"/>
          <w:sz w:val="24"/>
          <w:szCs w:val="24"/>
          <w:lang w:eastAsia="es-ES"/>
        </w:rPr>
        <w:t>e conformidad con lo dispuesto en los artículos</w:t>
      </w:r>
      <w:r w:rsidR="00854C6E" w:rsidRPr="00FF3288">
        <w:rPr>
          <w:rFonts w:ascii="Arial" w:eastAsia="Times New Roman" w:hAnsi="Arial" w:cs="Arial"/>
          <w:sz w:val="24"/>
          <w:szCs w:val="24"/>
          <w:lang w:eastAsia="es-ES"/>
        </w:rPr>
        <w:t xml:space="preserve"> </w:t>
      </w:r>
      <w:r w:rsidR="000152CB" w:rsidRPr="000152CB">
        <w:rPr>
          <w:rFonts w:ascii="Arial" w:eastAsia="Times New Roman" w:hAnsi="Arial" w:cs="Arial"/>
          <w:sz w:val="24"/>
          <w:szCs w:val="24"/>
          <w:lang w:eastAsia="es-ES"/>
        </w:rPr>
        <w:t>135, numeral 1, del Código Electoral del Estado de Jalisco;</w:t>
      </w:r>
      <w:r w:rsidR="000152CB">
        <w:rPr>
          <w:rFonts w:ascii="Arial" w:eastAsia="Times New Roman" w:hAnsi="Arial" w:cs="Arial"/>
          <w:sz w:val="24"/>
          <w:szCs w:val="24"/>
          <w:lang w:eastAsia="es-ES"/>
        </w:rPr>
        <w:t xml:space="preserve"> </w:t>
      </w:r>
      <w:r w:rsidR="00854C6E" w:rsidRPr="00CE5121">
        <w:rPr>
          <w:rFonts w:ascii="Arial" w:eastAsia="Times New Roman" w:hAnsi="Arial" w:cs="Arial"/>
          <w:sz w:val="24"/>
          <w:szCs w:val="24"/>
          <w:lang w:eastAsia="es-ES"/>
        </w:rPr>
        <w:t>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56ECDFD" w14:textId="77777777" w:rsidR="009B2CB0" w:rsidRDefault="009B2CB0" w:rsidP="00524DB3">
      <w:pPr>
        <w:spacing w:after="0"/>
        <w:jc w:val="both"/>
        <w:rPr>
          <w:rFonts w:ascii="Arial" w:eastAsia="Times New Roman" w:hAnsi="Arial" w:cs="Arial"/>
          <w:sz w:val="24"/>
          <w:szCs w:val="24"/>
          <w:lang w:eastAsia="es-ES"/>
        </w:rPr>
      </w:pPr>
    </w:p>
    <w:p w14:paraId="32BC1E28" w14:textId="62FAF4AB" w:rsidR="002B2040" w:rsidRPr="00524DB3" w:rsidRDefault="002B2040" w:rsidP="00524DB3">
      <w:pPr>
        <w:spacing w:after="0"/>
        <w:jc w:val="both"/>
        <w:rPr>
          <w:rFonts w:ascii="Arial" w:eastAsia="Times New Roman" w:hAnsi="Arial" w:cs="Arial"/>
          <w:sz w:val="24"/>
          <w:szCs w:val="24"/>
          <w:lang w:eastAsia="es-ES"/>
        </w:rPr>
      </w:pPr>
      <w:r w:rsidRPr="00524DB3">
        <w:rPr>
          <w:rFonts w:ascii="Arial" w:eastAsia="Times New Roman" w:hAnsi="Arial" w:cs="Arial"/>
          <w:sz w:val="24"/>
          <w:szCs w:val="24"/>
          <w:lang w:eastAsia="es-ES"/>
        </w:rPr>
        <w:t>Por lo anteriormente fundado y motivado, con base en las consideraciones precedentes,</w:t>
      </w:r>
      <w:r w:rsidRPr="00524DB3">
        <w:rPr>
          <w:rFonts w:ascii="Arial" w:eastAsia="Times New Roman" w:hAnsi="Arial" w:cs="Arial"/>
          <w:b/>
          <w:sz w:val="24"/>
          <w:szCs w:val="24"/>
          <w:lang w:eastAsia="es-ES"/>
        </w:rPr>
        <w:t xml:space="preserve"> </w:t>
      </w:r>
      <w:r w:rsidRPr="00524DB3">
        <w:rPr>
          <w:rFonts w:ascii="Arial" w:eastAsia="Times New Roman" w:hAnsi="Arial" w:cs="Arial"/>
          <w:sz w:val="24"/>
          <w:szCs w:val="24"/>
          <w:lang w:eastAsia="es-ES"/>
        </w:rPr>
        <w:t>se proponen los siguientes puntos de</w:t>
      </w:r>
    </w:p>
    <w:p w14:paraId="75DDBB5F" w14:textId="77777777" w:rsidR="006B1861" w:rsidRPr="00524DB3" w:rsidRDefault="006B1861" w:rsidP="00524DB3">
      <w:pPr>
        <w:spacing w:after="0"/>
        <w:jc w:val="both"/>
        <w:rPr>
          <w:rFonts w:ascii="Arial" w:eastAsia="Times New Roman" w:hAnsi="Arial" w:cs="Arial"/>
          <w:sz w:val="24"/>
          <w:szCs w:val="24"/>
          <w:lang w:eastAsia="es-ES"/>
        </w:rPr>
      </w:pPr>
    </w:p>
    <w:p w14:paraId="566A195B" w14:textId="77777777" w:rsidR="002B2040" w:rsidRPr="00524DB3" w:rsidRDefault="00F17023" w:rsidP="00524DB3">
      <w:pPr>
        <w:spacing w:after="0"/>
        <w:jc w:val="center"/>
        <w:rPr>
          <w:rFonts w:ascii="Arial" w:eastAsia="Times New Roman" w:hAnsi="Arial" w:cs="Arial"/>
          <w:b/>
          <w:sz w:val="24"/>
          <w:szCs w:val="24"/>
          <w:lang w:eastAsia="es-ES"/>
        </w:rPr>
      </w:pPr>
      <w:r w:rsidRPr="00524DB3">
        <w:rPr>
          <w:rFonts w:ascii="Arial" w:eastAsia="Times New Roman" w:hAnsi="Arial" w:cs="Arial"/>
          <w:b/>
          <w:sz w:val="24"/>
          <w:szCs w:val="24"/>
          <w:lang w:eastAsia="es-ES"/>
        </w:rPr>
        <w:t>A C U E R D O</w:t>
      </w:r>
    </w:p>
    <w:p w14:paraId="3F5B9CFD" w14:textId="77777777" w:rsidR="006B1861" w:rsidRPr="00524DB3" w:rsidRDefault="006B1861" w:rsidP="00524DB3">
      <w:pPr>
        <w:spacing w:after="0"/>
        <w:jc w:val="center"/>
        <w:rPr>
          <w:rFonts w:ascii="Arial" w:eastAsia="Times New Roman" w:hAnsi="Arial" w:cs="Arial"/>
          <w:b/>
          <w:sz w:val="24"/>
          <w:szCs w:val="24"/>
          <w:lang w:eastAsia="es-ES"/>
        </w:rPr>
      </w:pPr>
    </w:p>
    <w:p w14:paraId="38A26316" w14:textId="0D7636F8" w:rsidR="002B2040" w:rsidRPr="00524DB3" w:rsidRDefault="00E64F2C" w:rsidP="00524DB3">
      <w:pPr>
        <w:spacing w:after="0"/>
        <w:ind w:right="-93"/>
        <w:jc w:val="both"/>
        <w:rPr>
          <w:rFonts w:ascii="Arial" w:eastAsia="Times New Roman" w:hAnsi="Arial" w:cs="Arial"/>
          <w:iCs/>
          <w:sz w:val="24"/>
          <w:szCs w:val="24"/>
          <w:lang w:eastAsia="es-ES"/>
        </w:rPr>
      </w:pPr>
      <w:r w:rsidRPr="00524DB3">
        <w:rPr>
          <w:rFonts w:ascii="Arial" w:eastAsia="Times New Roman" w:hAnsi="Arial" w:cs="Arial"/>
          <w:b/>
          <w:iCs/>
          <w:sz w:val="24"/>
          <w:szCs w:val="24"/>
          <w:lang w:eastAsia="es-ES"/>
        </w:rPr>
        <w:t>PRIMERO</w:t>
      </w:r>
      <w:r w:rsidR="00F17023" w:rsidRPr="00524DB3">
        <w:rPr>
          <w:rFonts w:ascii="Arial" w:eastAsia="Times New Roman" w:hAnsi="Arial" w:cs="Arial"/>
          <w:b/>
          <w:iCs/>
          <w:sz w:val="24"/>
          <w:szCs w:val="24"/>
          <w:lang w:eastAsia="es-ES"/>
        </w:rPr>
        <w:t>.</w:t>
      </w:r>
      <w:r w:rsidR="002B2040" w:rsidRPr="00524DB3">
        <w:rPr>
          <w:rFonts w:ascii="Arial" w:eastAsia="Times New Roman" w:hAnsi="Arial" w:cs="Arial"/>
          <w:iCs/>
          <w:sz w:val="24"/>
          <w:szCs w:val="24"/>
          <w:lang w:eastAsia="es-ES"/>
        </w:rPr>
        <w:t xml:space="preserve"> Se</w:t>
      </w:r>
      <w:r w:rsidR="002B2040" w:rsidRPr="00524DB3">
        <w:rPr>
          <w:rFonts w:ascii="Arial" w:eastAsia="Times New Roman" w:hAnsi="Arial" w:cs="Arial"/>
          <w:sz w:val="24"/>
          <w:szCs w:val="24"/>
          <w:lang w:eastAsia="es-ES"/>
        </w:rPr>
        <w:t xml:space="preserve"> </w:t>
      </w:r>
      <w:bookmarkStart w:id="2" w:name="_Hlk124863662"/>
      <w:r w:rsidR="002B2040" w:rsidRPr="00524DB3">
        <w:rPr>
          <w:rFonts w:ascii="Arial" w:eastAsia="Times New Roman" w:hAnsi="Arial" w:cs="Arial"/>
          <w:sz w:val="24"/>
          <w:szCs w:val="24"/>
          <w:lang w:eastAsia="es-ES"/>
        </w:rPr>
        <w:t xml:space="preserve">aprueba </w:t>
      </w:r>
      <w:r w:rsidR="004A2692" w:rsidRPr="00524DB3">
        <w:rPr>
          <w:rFonts w:ascii="Arial" w:eastAsia="Times New Roman" w:hAnsi="Arial" w:cs="Arial"/>
          <w:sz w:val="24"/>
          <w:szCs w:val="24"/>
          <w:lang w:eastAsia="es-ES"/>
        </w:rPr>
        <w:t>el</w:t>
      </w:r>
      <w:r w:rsidR="002B2040" w:rsidRPr="00524DB3">
        <w:rPr>
          <w:rFonts w:ascii="Arial" w:eastAsia="Times New Roman" w:hAnsi="Arial" w:cs="Arial"/>
          <w:sz w:val="24"/>
          <w:szCs w:val="24"/>
          <w:lang w:eastAsia="es-ES"/>
        </w:rPr>
        <w:t xml:space="preserve"> </w:t>
      </w:r>
      <w:r w:rsidR="00F17023" w:rsidRPr="00524DB3">
        <w:rPr>
          <w:rFonts w:ascii="Arial" w:hAnsi="Arial" w:cs="Arial"/>
          <w:sz w:val="24"/>
          <w:szCs w:val="24"/>
        </w:rPr>
        <w:t>Programa Anual de Adquisiciones,</w:t>
      </w:r>
      <w:r w:rsidR="004A2692" w:rsidRPr="00524DB3">
        <w:rPr>
          <w:rFonts w:ascii="Arial" w:hAnsi="Arial" w:cs="Arial"/>
          <w:sz w:val="24"/>
          <w:szCs w:val="24"/>
        </w:rPr>
        <w:t xml:space="preserve"> Arrendamientos y Servicios de este organismo electoral</w:t>
      </w:r>
      <w:r w:rsidR="001D6CD4">
        <w:rPr>
          <w:rFonts w:ascii="Arial" w:hAnsi="Arial" w:cs="Arial"/>
          <w:sz w:val="24"/>
          <w:szCs w:val="24"/>
        </w:rPr>
        <w:t>,</w:t>
      </w:r>
      <w:r w:rsidR="00681BCD" w:rsidRPr="00524DB3">
        <w:rPr>
          <w:rFonts w:ascii="Arial" w:hAnsi="Arial" w:cs="Arial"/>
          <w:sz w:val="24"/>
          <w:szCs w:val="24"/>
        </w:rPr>
        <w:t xml:space="preserve"> para el ejercicio dos mil </w:t>
      </w:r>
      <w:r w:rsidR="002D68CB" w:rsidRPr="00524DB3">
        <w:rPr>
          <w:rFonts w:ascii="Arial" w:hAnsi="Arial" w:cs="Arial"/>
          <w:sz w:val="24"/>
          <w:szCs w:val="24"/>
        </w:rPr>
        <w:t>veintitrés</w:t>
      </w:r>
      <w:r w:rsidR="004A2692" w:rsidRPr="00524DB3">
        <w:rPr>
          <w:rFonts w:ascii="Arial" w:hAnsi="Arial" w:cs="Arial"/>
          <w:sz w:val="24"/>
          <w:szCs w:val="24"/>
        </w:rPr>
        <w:t xml:space="preserve">, </w:t>
      </w:r>
      <w:r w:rsidR="002B2040" w:rsidRPr="00524DB3">
        <w:rPr>
          <w:rFonts w:ascii="Arial" w:eastAsia="Times New Roman" w:hAnsi="Arial" w:cs="Arial"/>
          <w:iCs/>
          <w:sz w:val="24"/>
          <w:szCs w:val="24"/>
          <w:lang w:eastAsia="es-ES"/>
        </w:rPr>
        <w:t xml:space="preserve">en términos del considerando </w:t>
      </w:r>
      <w:r w:rsidR="00C76B41" w:rsidRPr="00524DB3">
        <w:rPr>
          <w:rFonts w:ascii="Arial" w:eastAsia="Times New Roman" w:hAnsi="Arial" w:cs="Arial"/>
          <w:iCs/>
          <w:sz w:val="24"/>
          <w:szCs w:val="24"/>
          <w:lang w:eastAsia="es-ES"/>
        </w:rPr>
        <w:t>III</w:t>
      </w:r>
      <w:r w:rsidR="00F8140C" w:rsidRPr="00524DB3">
        <w:rPr>
          <w:rFonts w:ascii="Arial" w:eastAsia="Times New Roman" w:hAnsi="Arial" w:cs="Arial"/>
          <w:iCs/>
          <w:sz w:val="24"/>
          <w:szCs w:val="24"/>
          <w:lang w:eastAsia="es-ES"/>
        </w:rPr>
        <w:t xml:space="preserve"> de este acuerdo y del </w:t>
      </w:r>
      <w:r w:rsidR="001D6CD4" w:rsidRPr="00875ED6">
        <w:rPr>
          <w:rFonts w:ascii="Arial" w:eastAsia="Times New Roman" w:hAnsi="Arial" w:cs="Arial"/>
          <w:b/>
          <w:bCs/>
          <w:iCs/>
          <w:sz w:val="24"/>
          <w:szCs w:val="24"/>
          <w:lang w:eastAsia="es-ES"/>
        </w:rPr>
        <w:t>ANEXO</w:t>
      </w:r>
      <w:r w:rsidR="001D6CD4" w:rsidRPr="00524DB3">
        <w:rPr>
          <w:rFonts w:ascii="Arial" w:eastAsia="Times New Roman" w:hAnsi="Arial" w:cs="Arial"/>
          <w:iCs/>
          <w:sz w:val="24"/>
          <w:szCs w:val="24"/>
          <w:lang w:eastAsia="es-ES"/>
        </w:rPr>
        <w:t xml:space="preserve"> </w:t>
      </w:r>
      <w:r w:rsidR="00F8140C" w:rsidRPr="00524DB3">
        <w:rPr>
          <w:rFonts w:ascii="Arial" w:eastAsia="Times New Roman" w:hAnsi="Arial" w:cs="Arial"/>
          <w:iCs/>
          <w:sz w:val="24"/>
          <w:szCs w:val="24"/>
          <w:lang w:eastAsia="es-ES"/>
        </w:rPr>
        <w:t>que se acompaña, forma</w:t>
      </w:r>
      <w:r w:rsidR="00C266EC" w:rsidRPr="00524DB3">
        <w:rPr>
          <w:rFonts w:ascii="Arial" w:eastAsia="Times New Roman" w:hAnsi="Arial" w:cs="Arial"/>
          <w:iCs/>
          <w:sz w:val="24"/>
          <w:szCs w:val="24"/>
          <w:lang w:eastAsia="es-ES"/>
        </w:rPr>
        <w:t>n</w:t>
      </w:r>
      <w:r w:rsidR="00F8140C" w:rsidRPr="00524DB3">
        <w:rPr>
          <w:rFonts w:ascii="Arial" w:eastAsia="Times New Roman" w:hAnsi="Arial" w:cs="Arial"/>
          <w:iCs/>
          <w:sz w:val="24"/>
          <w:szCs w:val="24"/>
          <w:lang w:eastAsia="es-ES"/>
        </w:rPr>
        <w:t>do parte integral del mismo.</w:t>
      </w:r>
      <w:r w:rsidR="002B2040" w:rsidRPr="00524DB3">
        <w:rPr>
          <w:rFonts w:ascii="Arial" w:eastAsia="Times New Roman" w:hAnsi="Arial" w:cs="Arial"/>
          <w:iCs/>
          <w:sz w:val="24"/>
          <w:szCs w:val="24"/>
          <w:lang w:eastAsia="es-ES"/>
        </w:rPr>
        <w:t xml:space="preserve"> </w:t>
      </w:r>
      <w:bookmarkEnd w:id="2"/>
    </w:p>
    <w:p w14:paraId="48C02047" w14:textId="77777777" w:rsidR="002B2040" w:rsidRPr="00524DB3" w:rsidRDefault="002B2040" w:rsidP="00524DB3">
      <w:pPr>
        <w:spacing w:after="0"/>
        <w:ind w:right="-93"/>
        <w:jc w:val="both"/>
        <w:rPr>
          <w:rFonts w:ascii="Arial" w:eastAsia="Times New Roman" w:hAnsi="Arial" w:cs="Arial"/>
          <w:iCs/>
          <w:sz w:val="24"/>
          <w:szCs w:val="24"/>
          <w:lang w:eastAsia="es-ES"/>
        </w:rPr>
      </w:pPr>
    </w:p>
    <w:p w14:paraId="0DA3231B" w14:textId="588295F6" w:rsidR="00C266EC" w:rsidRPr="00524DB3" w:rsidRDefault="006C5C3D" w:rsidP="00524DB3">
      <w:pPr>
        <w:spacing w:after="0"/>
        <w:jc w:val="both"/>
        <w:rPr>
          <w:rFonts w:ascii="Arial" w:hAnsi="Arial" w:cs="Arial"/>
          <w:b/>
          <w:sz w:val="24"/>
          <w:szCs w:val="24"/>
        </w:rPr>
      </w:pPr>
      <w:r w:rsidRPr="00524DB3">
        <w:rPr>
          <w:rFonts w:ascii="Arial" w:hAnsi="Arial" w:cs="Arial"/>
          <w:b/>
          <w:sz w:val="24"/>
          <w:szCs w:val="24"/>
        </w:rPr>
        <w:t>SEGUNDO.</w:t>
      </w:r>
      <w:r w:rsidR="00C266EC" w:rsidRPr="00524DB3">
        <w:rPr>
          <w:rFonts w:ascii="Arial" w:hAnsi="Arial" w:cs="Arial"/>
          <w:b/>
          <w:sz w:val="24"/>
          <w:szCs w:val="24"/>
        </w:rPr>
        <w:t xml:space="preserve"> </w:t>
      </w:r>
      <w:r w:rsidR="00C266EC" w:rsidRPr="00524DB3">
        <w:rPr>
          <w:rFonts w:ascii="Arial" w:hAnsi="Arial" w:cs="Arial"/>
          <w:sz w:val="24"/>
          <w:szCs w:val="24"/>
        </w:rPr>
        <w:t xml:space="preserve">El referido programa anual </w:t>
      </w:r>
      <w:r w:rsidR="00F73F96" w:rsidRPr="00524DB3">
        <w:rPr>
          <w:rFonts w:ascii="Arial" w:hAnsi="Arial" w:cs="Arial"/>
          <w:sz w:val="24"/>
          <w:szCs w:val="24"/>
        </w:rPr>
        <w:t xml:space="preserve">podrá </w:t>
      </w:r>
      <w:r w:rsidR="00854C6E">
        <w:rPr>
          <w:rFonts w:ascii="Arial" w:hAnsi="Arial" w:cs="Arial"/>
          <w:sz w:val="24"/>
          <w:szCs w:val="24"/>
        </w:rPr>
        <w:t>actualizarse</w:t>
      </w:r>
      <w:r w:rsidR="00F73F96" w:rsidRPr="00524DB3">
        <w:rPr>
          <w:rFonts w:ascii="Arial" w:hAnsi="Arial" w:cs="Arial"/>
          <w:sz w:val="24"/>
          <w:szCs w:val="24"/>
        </w:rPr>
        <w:t xml:space="preserve"> </w:t>
      </w:r>
      <w:r w:rsidR="00854C6E" w:rsidRPr="00524DB3">
        <w:rPr>
          <w:rFonts w:ascii="Arial" w:hAnsi="Arial" w:cs="Arial"/>
          <w:sz w:val="24"/>
          <w:szCs w:val="24"/>
        </w:rPr>
        <w:t>de acuerdo con</w:t>
      </w:r>
      <w:r w:rsidR="00F73F96" w:rsidRPr="00524DB3">
        <w:rPr>
          <w:rFonts w:ascii="Arial" w:hAnsi="Arial" w:cs="Arial"/>
          <w:sz w:val="24"/>
          <w:szCs w:val="24"/>
        </w:rPr>
        <w:t xml:space="preserve"> la suficiencia presupuestal existente, así como en atención a las eventualidades que se presenten durante el ejercicio fiscal.</w:t>
      </w:r>
      <w:r w:rsidRPr="00524DB3">
        <w:rPr>
          <w:rFonts w:ascii="Arial" w:hAnsi="Arial" w:cs="Arial"/>
          <w:b/>
          <w:sz w:val="24"/>
          <w:szCs w:val="24"/>
        </w:rPr>
        <w:t xml:space="preserve"> </w:t>
      </w:r>
    </w:p>
    <w:p w14:paraId="4BB95F99" w14:textId="0D5042DF" w:rsidR="00C76B41" w:rsidRDefault="00C76B41" w:rsidP="00524DB3">
      <w:pPr>
        <w:spacing w:after="0"/>
        <w:jc w:val="both"/>
        <w:rPr>
          <w:rFonts w:ascii="Arial" w:hAnsi="Arial" w:cs="Arial"/>
          <w:bCs/>
          <w:sz w:val="24"/>
          <w:szCs w:val="24"/>
        </w:rPr>
      </w:pPr>
    </w:p>
    <w:p w14:paraId="2FB99D17" w14:textId="439AD93F" w:rsidR="006C5C3D" w:rsidRPr="00524DB3" w:rsidRDefault="00875ED6" w:rsidP="00524DB3">
      <w:pPr>
        <w:spacing w:after="0"/>
        <w:jc w:val="both"/>
        <w:rPr>
          <w:rFonts w:ascii="Arial" w:hAnsi="Arial" w:cs="Arial"/>
          <w:sz w:val="24"/>
          <w:szCs w:val="24"/>
        </w:rPr>
      </w:pPr>
      <w:r>
        <w:rPr>
          <w:rFonts w:ascii="Arial" w:hAnsi="Arial" w:cs="Arial"/>
          <w:b/>
          <w:sz w:val="24"/>
          <w:szCs w:val="24"/>
        </w:rPr>
        <w:t>TERCERO</w:t>
      </w:r>
      <w:r w:rsidR="00C76B41" w:rsidRPr="00524DB3">
        <w:rPr>
          <w:rFonts w:ascii="Arial" w:hAnsi="Arial" w:cs="Arial"/>
          <w:b/>
          <w:sz w:val="24"/>
          <w:szCs w:val="24"/>
        </w:rPr>
        <w:t>.</w:t>
      </w:r>
      <w:r w:rsidR="00C266EC" w:rsidRPr="00524DB3">
        <w:rPr>
          <w:rFonts w:ascii="Arial" w:hAnsi="Arial" w:cs="Arial"/>
          <w:sz w:val="24"/>
          <w:szCs w:val="24"/>
        </w:rPr>
        <w:t xml:space="preserve"> </w:t>
      </w:r>
      <w:bookmarkStart w:id="3" w:name="_Hlk125457653"/>
      <w:r w:rsidR="006C5C3D" w:rsidRPr="00524DB3">
        <w:rPr>
          <w:rFonts w:ascii="Arial" w:hAnsi="Arial" w:cs="Arial"/>
          <w:sz w:val="24"/>
          <w:szCs w:val="24"/>
        </w:rPr>
        <w:t>Hágase del conocimiento este acuerdo al Instituto Nacional Electoral, a través del Sistema de Vinculación con los Organismos Públicos Locales Electorales, para los efectos correspondientes.</w:t>
      </w:r>
    </w:p>
    <w:bookmarkEnd w:id="3"/>
    <w:p w14:paraId="7ECC3E90" w14:textId="77777777" w:rsidR="006C5C3D" w:rsidRPr="00524DB3" w:rsidRDefault="006C5C3D" w:rsidP="00524DB3">
      <w:pPr>
        <w:spacing w:after="0"/>
        <w:jc w:val="both"/>
        <w:rPr>
          <w:rFonts w:ascii="Arial" w:hAnsi="Arial" w:cs="Arial"/>
          <w:sz w:val="24"/>
          <w:szCs w:val="24"/>
        </w:rPr>
      </w:pPr>
    </w:p>
    <w:p w14:paraId="7C8917E4" w14:textId="31F669B1" w:rsidR="006C5C3D" w:rsidRPr="00524DB3" w:rsidRDefault="00875ED6" w:rsidP="00524DB3">
      <w:pPr>
        <w:autoSpaceDE w:val="0"/>
        <w:spacing w:after="0"/>
        <w:jc w:val="both"/>
        <w:rPr>
          <w:rFonts w:ascii="Arial" w:hAnsi="Arial" w:cs="Arial"/>
          <w:sz w:val="24"/>
          <w:szCs w:val="24"/>
        </w:rPr>
      </w:pPr>
      <w:r>
        <w:rPr>
          <w:rFonts w:ascii="Arial" w:hAnsi="Arial" w:cs="Arial"/>
          <w:b/>
          <w:sz w:val="24"/>
          <w:szCs w:val="24"/>
        </w:rPr>
        <w:t>CUARTO</w:t>
      </w:r>
      <w:r w:rsidR="006C5C3D" w:rsidRPr="00524DB3">
        <w:rPr>
          <w:rFonts w:ascii="Arial" w:hAnsi="Arial" w:cs="Arial"/>
          <w:b/>
          <w:bCs/>
          <w:sz w:val="24"/>
          <w:szCs w:val="24"/>
        </w:rPr>
        <w:t>.</w:t>
      </w:r>
      <w:r w:rsidR="006C5C3D" w:rsidRPr="00524DB3">
        <w:rPr>
          <w:rFonts w:ascii="Arial" w:hAnsi="Arial" w:cs="Arial"/>
          <w:bCs/>
          <w:sz w:val="24"/>
          <w:szCs w:val="24"/>
        </w:rPr>
        <w:t xml:space="preserve"> </w:t>
      </w:r>
      <w:bookmarkStart w:id="4" w:name="_Hlk125457670"/>
      <w:r w:rsidR="006C5C3D" w:rsidRPr="00524DB3">
        <w:rPr>
          <w:rFonts w:ascii="Arial" w:hAnsi="Arial" w:cs="Arial"/>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bookmarkEnd w:id="4"/>
    <w:p w14:paraId="32667027" w14:textId="77777777" w:rsidR="009902BC" w:rsidRPr="00524DB3" w:rsidRDefault="002B2040" w:rsidP="00524DB3">
      <w:pPr>
        <w:spacing w:after="0"/>
        <w:jc w:val="center"/>
        <w:rPr>
          <w:rFonts w:ascii="Arial" w:hAnsi="Arial" w:cs="Arial"/>
          <w:b/>
          <w:sz w:val="24"/>
          <w:szCs w:val="24"/>
        </w:rPr>
      </w:pPr>
      <w:r w:rsidRPr="00524DB3">
        <w:rPr>
          <w:rFonts w:ascii="Arial" w:eastAsia="Times New Roman" w:hAnsi="Arial" w:cs="Arial"/>
          <w:b/>
          <w:sz w:val="24"/>
          <w:szCs w:val="24"/>
          <w:lang w:eastAsia="es-ES"/>
        </w:rPr>
        <w:tab/>
      </w:r>
    </w:p>
    <w:p w14:paraId="1EE9586B" w14:textId="32BEF137" w:rsidR="008B3FAD" w:rsidRPr="00C253E0" w:rsidRDefault="008B3FAD" w:rsidP="00524DB3">
      <w:pPr>
        <w:pStyle w:val="Sinespaciado"/>
        <w:spacing w:line="276" w:lineRule="auto"/>
        <w:jc w:val="center"/>
        <w:rPr>
          <w:rFonts w:ascii="Arial" w:hAnsi="Arial" w:cs="Arial"/>
          <w:b/>
          <w:bCs/>
          <w:kern w:val="18"/>
          <w:sz w:val="24"/>
          <w:szCs w:val="24"/>
        </w:rPr>
      </w:pPr>
      <w:r w:rsidRPr="00C253E0">
        <w:rPr>
          <w:rFonts w:ascii="Arial" w:hAnsi="Arial" w:cs="Arial"/>
          <w:b/>
          <w:bCs/>
          <w:kern w:val="18"/>
          <w:sz w:val="24"/>
          <w:szCs w:val="24"/>
        </w:rPr>
        <w:t xml:space="preserve">Guadalajara, Jalisco; a </w:t>
      </w:r>
      <w:r w:rsidR="00C253E0" w:rsidRPr="00C253E0">
        <w:rPr>
          <w:rFonts w:ascii="Arial" w:hAnsi="Arial" w:cs="Arial"/>
          <w:b/>
          <w:bCs/>
          <w:kern w:val="18"/>
          <w:sz w:val="24"/>
          <w:szCs w:val="24"/>
        </w:rPr>
        <w:t>31</w:t>
      </w:r>
      <w:r w:rsidR="00681BCD" w:rsidRPr="00C253E0">
        <w:rPr>
          <w:rFonts w:ascii="Arial" w:hAnsi="Arial" w:cs="Arial"/>
          <w:b/>
          <w:bCs/>
          <w:kern w:val="18"/>
          <w:sz w:val="24"/>
          <w:szCs w:val="24"/>
        </w:rPr>
        <w:t xml:space="preserve"> </w:t>
      </w:r>
      <w:r w:rsidRPr="00C253E0">
        <w:rPr>
          <w:rFonts w:ascii="Arial" w:hAnsi="Arial" w:cs="Arial"/>
          <w:b/>
          <w:bCs/>
          <w:kern w:val="18"/>
          <w:sz w:val="24"/>
          <w:szCs w:val="24"/>
        </w:rPr>
        <w:t>de enero de 202</w:t>
      </w:r>
      <w:r w:rsidR="00621426" w:rsidRPr="00C253E0">
        <w:rPr>
          <w:rFonts w:ascii="Arial" w:hAnsi="Arial" w:cs="Arial"/>
          <w:b/>
          <w:bCs/>
          <w:kern w:val="18"/>
          <w:sz w:val="24"/>
          <w:szCs w:val="24"/>
        </w:rPr>
        <w:t>3</w:t>
      </w:r>
    </w:p>
    <w:p w14:paraId="78F1C8F3" w14:textId="77777777" w:rsidR="00681BCD" w:rsidRPr="00524DB3" w:rsidRDefault="00681BCD" w:rsidP="00524DB3">
      <w:pPr>
        <w:pStyle w:val="Sinespaciado"/>
        <w:spacing w:line="276" w:lineRule="auto"/>
        <w:jc w:val="center"/>
        <w:rPr>
          <w:rFonts w:ascii="Arial" w:hAnsi="Arial" w:cs="Arial"/>
          <w:kern w:val="18"/>
          <w:sz w:val="24"/>
          <w:szCs w:val="24"/>
        </w:rPr>
      </w:pPr>
    </w:p>
    <w:p w14:paraId="6EB70870" w14:textId="77777777" w:rsidR="008B3FAD" w:rsidRPr="00524DB3" w:rsidRDefault="008B3FAD" w:rsidP="00524DB3">
      <w:pPr>
        <w:pStyle w:val="Sinespaciado"/>
        <w:spacing w:line="276" w:lineRule="auto"/>
        <w:jc w:val="center"/>
        <w:rPr>
          <w:rFonts w:ascii="Arial" w:hAnsi="Arial" w:cs="Arial"/>
          <w:kern w:val="18"/>
          <w:sz w:val="24"/>
          <w:szCs w:val="24"/>
        </w:rPr>
      </w:pPr>
    </w:p>
    <w:p w14:paraId="7ECB9BC2" w14:textId="77777777" w:rsidR="008B3FAD" w:rsidRPr="00524DB3" w:rsidRDefault="008B3FAD" w:rsidP="00524DB3">
      <w:pPr>
        <w:pStyle w:val="Sinespaciado"/>
        <w:spacing w:line="276" w:lineRule="auto"/>
        <w:jc w:val="center"/>
        <w:rPr>
          <w:rFonts w:ascii="Arial" w:hAnsi="Arial" w:cs="Arial"/>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681BCD" w:rsidRPr="00524DB3" w14:paraId="481FEAE5" w14:textId="77777777" w:rsidTr="00D76ACC">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81BCD" w:rsidRPr="00C253E0" w14:paraId="267292DB" w14:textId="77777777" w:rsidTr="00D76ACC">
              <w:tc>
                <w:tcPr>
                  <w:tcW w:w="5070" w:type="dxa"/>
                  <w:shd w:val="clear" w:color="auto" w:fill="auto"/>
                </w:tcPr>
                <w:p w14:paraId="6423510B" w14:textId="77777777" w:rsidR="00681BCD" w:rsidRPr="00C253E0" w:rsidRDefault="00681BCD" w:rsidP="00524DB3">
                  <w:pPr>
                    <w:pStyle w:val="Sinespaciado"/>
                    <w:spacing w:line="276" w:lineRule="auto"/>
                    <w:jc w:val="center"/>
                    <w:rPr>
                      <w:rFonts w:ascii="Arial" w:hAnsi="Arial" w:cs="Arial"/>
                      <w:b/>
                      <w:bCs/>
                      <w:kern w:val="18"/>
                      <w:sz w:val="24"/>
                      <w:szCs w:val="24"/>
                    </w:rPr>
                  </w:pPr>
                </w:p>
                <w:p w14:paraId="1A71F79E" w14:textId="77777777" w:rsidR="00875ED6" w:rsidRPr="00C253E0" w:rsidRDefault="00875ED6" w:rsidP="00875ED6">
                  <w:pPr>
                    <w:pStyle w:val="Sinespaciado"/>
                    <w:spacing w:line="276" w:lineRule="auto"/>
                    <w:jc w:val="center"/>
                    <w:rPr>
                      <w:rFonts w:ascii="Arial" w:hAnsi="Arial" w:cs="Arial"/>
                      <w:b/>
                      <w:bCs/>
                      <w:kern w:val="18"/>
                      <w:sz w:val="24"/>
                      <w:szCs w:val="24"/>
                    </w:rPr>
                  </w:pPr>
                  <w:r w:rsidRPr="00C253E0">
                    <w:rPr>
                      <w:rFonts w:ascii="Arial" w:hAnsi="Arial" w:cs="Arial"/>
                      <w:b/>
                      <w:bCs/>
                      <w:sz w:val="24"/>
                    </w:rPr>
                    <w:t xml:space="preserve">Mtra. Paula Ramírez </w:t>
                  </w:r>
                  <w:proofErr w:type="spellStart"/>
                  <w:r w:rsidRPr="00C253E0">
                    <w:rPr>
                      <w:rFonts w:ascii="Arial" w:hAnsi="Arial" w:cs="Arial"/>
                      <w:b/>
                      <w:bCs/>
                      <w:sz w:val="24"/>
                    </w:rPr>
                    <w:t>Höhne</w:t>
                  </w:r>
                  <w:proofErr w:type="spellEnd"/>
                  <w:r w:rsidRPr="00C253E0">
                    <w:rPr>
                      <w:rFonts w:ascii="Arial" w:hAnsi="Arial" w:cs="Arial"/>
                      <w:b/>
                      <w:bCs/>
                      <w:kern w:val="18"/>
                      <w:sz w:val="28"/>
                      <w:szCs w:val="24"/>
                    </w:rPr>
                    <w:t xml:space="preserve"> </w:t>
                  </w:r>
                </w:p>
                <w:p w14:paraId="3A7EC0A3" w14:textId="2135307B" w:rsidR="00681BCD" w:rsidRPr="00C253E0" w:rsidRDefault="00875ED6" w:rsidP="00875ED6">
                  <w:pPr>
                    <w:pStyle w:val="Sinespaciado"/>
                    <w:spacing w:line="276" w:lineRule="auto"/>
                    <w:jc w:val="center"/>
                    <w:rPr>
                      <w:rFonts w:ascii="Arial" w:hAnsi="Arial" w:cs="Arial"/>
                      <w:b/>
                      <w:bCs/>
                      <w:kern w:val="18"/>
                      <w:sz w:val="24"/>
                      <w:szCs w:val="24"/>
                    </w:rPr>
                  </w:pPr>
                  <w:r w:rsidRPr="00C253E0">
                    <w:rPr>
                      <w:rFonts w:ascii="Arial" w:hAnsi="Arial" w:cs="Arial"/>
                      <w:b/>
                      <w:bCs/>
                      <w:kern w:val="18"/>
                      <w:sz w:val="24"/>
                      <w:szCs w:val="24"/>
                    </w:rPr>
                    <w:t>La c</w:t>
                  </w:r>
                  <w:r w:rsidR="00681BCD" w:rsidRPr="00C253E0">
                    <w:rPr>
                      <w:rFonts w:ascii="Arial" w:hAnsi="Arial" w:cs="Arial"/>
                      <w:b/>
                      <w:bCs/>
                      <w:kern w:val="18"/>
                      <w:sz w:val="24"/>
                      <w:szCs w:val="24"/>
                    </w:rPr>
                    <w:t>onsejera presidenta</w:t>
                  </w:r>
                </w:p>
              </w:tc>
              <w:tc>
                <w:tcPr>
                  <w:tcW w:w="5137" w:type="dxa"/>
                  <w:shd w:val="clear" w:color="auto" w:fill="auto"/>
                </w:tcPr>
                <w:p w14:paraId="2BB0F0E0" w14:textId="77777777" w:rsidR="00681BCD" w:rsidRPr="00C253E0" w:rsidRDefault="00681BCD" w:rsidP="00524DB3">
                  <w:pPr>
                    <w:pStyle w:val="Sinespaciado"/>
                    <w:spacing w:line="276" w:lineRule="auto"/>
                    <w:jc w:val="center"/>
                    <w:rPr>
                      <w:rFonts w:ascii="Arial" w:hAnsi="Arial" w:cs="Arial"/>
                      <w:b/>
                      <w:bCs/>
                      <w:kern w:val="18"/>
                      <w:sz w:val="24"/>
                      <w:szCs w:val="24"/>
                    </w:rPr>
                  </w:pPr>
                </w:p>
                <w:p w14:paraId="3E159C0A" w14:textId="39109BB4" w:rsidR="00681BCD" w:rsidRPr="00C253E0" w:rsidRDefault="00875ED6" w:rsidP="00524DB3">
                  <w:pPr>
                    <w:pStyle w:val="Sinespaciado"/>
                    <w:spacing w:line="276" w:lineRule="auto"/>
                    <w:jc w:val="center"/>
                    <w:rPr>
                      <w:rFonts w:ascii="Arial" w:hAnsi="Arial" w:cs="Arial"/>
                      <w:b/>
                      <w:bCs/>
                      <w:kern w:val="18"/>
                      <w:sz w:val="24"/>
                      <w:szCs w:val="24"/>
                    </w:rPr>
                  </w:pPr>
                  <w:r w:rsidRPr="00C253E0">
                    <w:rPr>
                      <w:rFonts w:ascii="Arial" w:hAnsi="Arial" w:cs="Arial"/>
                      <w:b/>
                      <w:bCs/>
                      <w:sz w:val="24"/>
                    </w:rPr>
                    <w:t>Mtro. Christian Flores Garza</w:t>
                  </w:r>
                  <w:r w:rsidRPr="00C253E0">
                    <w:rPr>
                      <w:rFonts w:ascii="Arial" w:hAnsi="Arial" w:cs="Arial"/>
                      <w:b/>
                      <w:bCs/>
                      <w:kern w:val="18"/>
                      <w:sz w:val="28"/>
                      <w:szCs w:val="24"/>
                    </w:rPr>
                    <w:t xml:space="preserve"> </w:t>
                  </w:r>
                  <w:r w:rsidR="008232A8" w:rsidRPr="00C253E0">
                    <w:rPr>
                      <w:rFonts w:ascii="Arial" w:hAnsi="Arial" w:cs="Arial"/>
                      <w:b/>
                      <w:bCs/>
                      <w:kern w:val="18"/>
                      <w:sz w:val="24"/>
                      <w:szCs w:val="24"/>
                    </w:rPr>
                    <w:t xml:space="preserve"> </w:t>
                  </w:r>
                </w:p>
                <w:p w14:paraId="5E0FFD3A" w14:textId="0C8B4A05" w:rsidR="00681BCD" w:rsidRPr="00C253E0" w:rsidRDefault="00875ED6" w:rsidP="00875ED6">
                  <w:pPr>
                    <w:pStyle w:val="Sinespaciado"/>
                    <w:spacing w:line="276" w:lineRule="auto"/>
                    <w:jc w:val="center"/>
                    <w:rPr>
                      <w:rFonts w:ascii="Arial" w:hAnsi="Arial" w:cs="Arial"/>
                      <w:b/>
                      <w:bCs/>
                      <w:kern w:val="18"/>
                      <w:sz w:val="24"/>
                      <w:szCs w:val="24"/>
                    </w:rPr>
                  </w:pPr>
                  <w:r w:rsidRPr="00C253E0">
                    <w:rPr>
                      <w:rFonts w:ascii="Arial" w:hAnsi="Arial" w:cs="Arial"/>
                      <w:b/>
                      <w:bCs/>
                      <w:kern w:val="18"/>
                      <w:sz w:val="24"/>
                      <w:szCs w:val="24"/>
                    </w:rPr>
                    <w:t>El s</w:t>
                  </w:r>
                  <w:r w:rsidR="00681BCD" w:rsidRPr="00C253E0">
                    <w:rPr>
                      <w:rFonts w:ascii="Arial" w:hAnsi="Arial" w:cs="Arial"/>
                      <w:b/>
                      <w:bCs/>
                      <w:kern w:val="18"/>
                      <w:sz w:val="24"/>
                      <w:szCs w:val="24"/>
                    </w:rPr>
                    <w:t>ecretario ejecutivo</w:t>
                  </w:r>
                </w:p>
              </w:tc>
            </w:tr>
          </w:tbl>
          <w:p w14:paraId="1478ADE8" w14:textId="77777777" w:rsidR="00681BCD" w:rsidRPr="00524DB3" w:rsidRDefault="00681BCD" w:rsidP="00524DB3">
            <w:pPr>
              <w:pStyle w:val="Sinespaciado"/>
              <w:spacing w:after="200" w:line="276" w:lineRule="auto"/>
              <w:jc w:val="center"/>
              <w:rPr>
                <w:rFonts w:ascii="Arial" w:hAnsi="Arial" w:cs="Arial"/>
                <w:kern w:val="18"/>
                <w:sz w:val="24"/>
                <w:szCs w:val="24"/>
              </w:rPr>
            </w:pPr>
          </w:p>
        </w:tc>
        <w:tc>
          <w:tcPr>
            <w:tcW w:w="222" w:type="dxa"/>
            <w:shd w:val="clear" w:color="auto" w:fill="auto"/>
          </w:tcPr>
          <w:p w14:paraId="74B468A8" w14:textId="77777777" w:rsidR="00681BCD" w:rsidRPr="00524DB3" w:rsidRDefault="00681BCD" w:rsidP="00524DB3">
            <w:pPr>
              <w:pStyle w:val="Sinespaciado"/>
              <w:spacing w:after="200" w:line="276" w:lineRule="auto"/>
              <w:jc w:val="center"/>
              <w:rPr>
                <w:rFonts w:ascii="Arial" w:hAnsi="Arial" w:cs="Arial"/>
                <w:kern w:val="18"/>
                <w:sz w:val="24"/>
                <w:szCs w:val="24"/>
              </w:rPr>
            </w:pPr>
          </w:p>
        </w:tc>
      </w:tr>
    </w:tbl>
    <w:p w14:paraId="0B832265" w14:textId="77777777" w:rsidR="00681BCD" w:rsidRPr="00524DB3" w:rsidRDefault="00681BCD" w:rsidP="00524DB3">
      <w:pPr>
        <w:shd w:val="clear" w:color="auto" w:fill="FFFFFF"/>
        <w:spacing w:after="0"/>
        <w:rPr>
          <w:rFonts w:ascii="Arial" w:hAnsi="Arial" w:cs="Arial"/>
          <w:b/>
          <w:sz w:val="23"/>
          <w:szCs w:val="23"/>
        </w:rPr>
      </w:pPr>
    </w:p>
    <w:p w14:paraId="60A37666" w14:textId="77777777" w:rsidR="009533C6" w:rsidRPr="009533C6" w:rsidRDefault="009533C6" w:rsidP="009533C6">
      <w:pPr>
        <w:spacing w:after="0"/>
        <w:ind w:right="49"/>
        <w:jc w:val="both"/>
        <w:rPr>
          <w:rFonts w:ascii="Arial" w:eastAsia="Calibri" w:hAnsi="Arial" w:cs="Arial"/>
          <w:sz w:val="16"/>
          <w:szCs w:val="16"/>
          <w:lang w:eastAsia="en-US"/>
        </w:rPr>
      </w:pPr>
      <w:r w:rsidRPr="009533C6">
        <w:rPr>
          <w:rFonts w:ascii="Arial" w:eastAsia="Calibri" w:hAnsi="Arial"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fue aprobado en la </w:t>
      </w:r>
      <w:r w:rsidRPr="009533C6">
        <w:rPr>
          <w:rFonts w:ascii="Arial" w:eastAsia="Calibri" w:hAnsi="Arial" w:cs="Arial"/>
          <w:b/>
          <w:bCs/>
          <w:sz w:val="16"/>
          <w:szCs w:val="16"/>
          <w:lang w:eastAsia="en-US"/>
        </w:rPr>
        <w:t>primera sesión ordinaria</w:t>
      </w:r>
      <w:r w:rsidRPr="009533C6">
        <w:rPr>
          <w:rFonts w:ascii="Arial" w:eastAsia="Calibri" w:hAnsi="Arial" w:cs="Arial"/>
          <w:sz w:val="16"/>
          <w:szCs w:val="16"/>
          <w:lang w:eastAsia="en-US"/>
        </w:rPr>
        <w:t xml:space="preserve"> del Consejo General, celebrada el </w:t>
      </w:r>
      <w:r w:rsidRPr="009533C6">
        <w:rPr>
          <w:rFonts w:ascii="Arial" w:eastAsia="Calibri" w:hAnsi="Arial" w:cs="Arial"/>
          <w:b/>
          <w:bCs/>
          <w:sz w:val="16"/>
          <w:szCs w:val="16"/>
          <w:lang w:eastAsia="en-US"/>
        </w:rPr>
        <w:t>treinta y uno de enero de dos mil veintitrés</w:t>
      </w:r>
      <w:r w:rsidRPr="009533C6">
        <w:rPr>
          <w:rFonts w:ascii="Arial" w:eastAsia="Calibri" w:hAnsi="Arial" w:cs="Arial"/>
          <w:sz w:val="16"/>
          <w:szCs w:val="16"/>
          <w:lang w:eastAsia="en-US"/>
        </w:rPr>
        <w:t xml:space="preserve">, por votación unánime de las y los consejeros electorales Silvia Guadalupe Bustos Vásquez, </w:t>
      </w:r>
      <w:proofErr w:type="spellStart"/>
      <w:r w:rsidRPr="009533C6">
        <w:rPr>
          <w:rFonts w:ascii="Arial" w:eastAsia="Calibri" w:hAnsi="Arial" w:cs="Arial"/>
          <w:sz w:val="16"/>
          <w:szCs w:val="16"/>
          <w:lang w:eastAsia="en-US"/>
        </w:rPr>
        <w:t>Zoad</w:t>
      </w:r>
      <w:proofErr w:type="spellEnd"/>
      <w:r w:rsidRPr="009533C6">
        <w:rPr>
          <w:rFonts w:ascii="Arial" w:eastAsia="Calibri" w:hAnsi="Arial" w:cs="Arial"/>
          <w:sz w:val="16"/>
          <w:szCs w:val="16"/>
          <w:lang w:eastAsia="en-US"/>
        </w:rPr>
        <w:t xml:space="preserve"> Jeanine García González, Miguel Godínez </w:t>
      </w:r>
      <w:proofErr w:type="spellStart"/>
      <w:r w:rsidRPr="009533C6">
        <w:rPr>
          <w:rFonts w:ascii="Arial" w:eastAsia="Calibri" w:hAnsi="Arial" w:cs="Arial"/>
          <w:sz w:val="16"/>
          <w:szCs w:val="16"/>
          <w:lang w:eastAsia="en-US"/>
        </w:rPr>
        <w:t>Terríquez</w:t>
      </w:r>
      <w:proofErr w:type="spellEnd"/>
      <w:r w:rsidRPr="009533C6">
        <w:rPr>
          <w:rFonts w:ascii="Arial" w:eastAsia="Calibri" w:hAnsi="Arial" w:cs="Arial"/>
          <w:sz w:val="16"/>
          <w:szCs w:val="16"/>
          <w:lang w:eastAsia="en-US"/>
        </w:rPr>
        <w:t xml:space="preserve">, Moisés Pérez Vega, Brenda Judith Serafín Morfín, Claudia Alejandra Vargas Bautista y la consejera presidenta Paula Ramírez </w:t>
      </w:r>
      <w:proofErr w:type="spellStart"/>
      <w:r w:rsidRPr="009533C6">
        <w:rPr>
          <w:rFonts w:ascii="Arial" w:eastAsia="Calibri" w:hAnsi="Arial" w:cs="Arial"/>
          <w:sz w:val="16"/>
          <w:szCs w:val="16"/>
          <w:lang w:eastAsia="en-US"/>
        </w:rPr>
        <w:t>Höhne</w:t>
      </w:r>
      <w:proofErr w:type="spellEnd"/>
      <w:r w:rsidRPr="009533C6">
        <w:rPr>
          <w:rFonts w:ascii="Arial" w:eastAsia="Calibri" w:hAnsi="Arial" w:cs="Arial"/>
          <w:sz w:val="16"/>
          <w:szCs w:val="16"/>
          <w:lang w:eastAsia="en-US"/>
        </w:rPr>
        <w:t xml:space="preserve">. Doy fe. </w:t>
      </w:r>
    </w:p>
    <w:p w14:paraId="7A0214D2" w14:textId="77777777" w:rsidR="009533C6" w:rsidRPr="009533C6" w:rsidRDefault="009533C6" w:rsidP="009533C6">
      <w:pPr>
        <w:spacing w:after="0"/>
        <w:ind w:right="49"/>
        <w:jc w:val="both"/>
        <w:rPr>
          <w:rFonts w:ascii="Arial" w:eastAsia="Calibri" w:hAnsi="Arial" w:cs="Arial"/>
          <w:sz w:val="16"/>
          <w:szCs w:val="16"/>
          <w:lang w:eastAsia="en-US"/>
        </w:rPr>
      </w:pPr>
    </w:p>
    <w:p w14:paraId="3CE5C077" w14:textId="77777777" w:rsidR="009533C6" w:rsidRPr="009533C6" w:rsidRDefault="009533C6" w:rsidP="009533C6">
      <w:pPr>
        <w:spacing w:after="0"/>
        <w:ind w:right="49"/>
        <w:jc w:val="both"/>
        <w:rPr>
          <w:rFonts w:ascii="Arial" w:eastAsia="Calibri" w:hAnsi="Arial" w:cs="Arial"/>
          <w:sz w:val="16"/>
          <w:szCs w:val="16"/>
          <w:lang w:eastAsia="en-US"/>
        </w:rPr>
      </w:pPr>
    </w:p>
    <w:p w14:paraId="2EF47E03" w14:textId="77777777" w:rsidR="009533C6" w:rsidRPr="009533C6" w:rsidRDefault="009533C6" w:rsidP="009533C6">
      <w:pPr>
        <w:spacing w:after="0"/>
        <w:ind w:right="49"/>
        <w:jc w:val="center"/>
        <w:rPr>
          <w:rFonts w:ascii="Arial" w:eastAsia="Calibri" w:hAnsi="Arial" w:cs="Arial"/>
          <w:b/>
          <w:bCs/>
          <w:sz w:val="16"/>
          <w:szCs w:val="16"/>
          <w:lang w:eastAsia="en-US"/>
        </w:rPr>
      </w:pPr>
      <w:r w:rsidRPr="009533C6">
        <w:rPr>
          <w:rFonts w:ascii="Arial" w:eastAsia="Calibri" w:hAnsi="Arial" w:cs="Arial"/>
          <w:b/>
          <w:bCs/>
          <w:sz w:val="16"/>
          <w:szCs w:val="16"/>
          <w:lang w:eastAsia="en-US"/>
        </w:rPr>
        <w:t>Mtro. Christian Flores Garza</w:t>
      </w:r>
    </w:p>
    <w:p w14:paraId="6FE66BFB" w14:textId="312D98D8" w:rsidR="00EE5036" w:rsidRPr="00524DB3" w:rsidRDefault="009533C6" w:rsidP="009533C6">
      <w:pPr>
        <w:spacing w:after="0"/>
        <w:ind w:right="49"/>
        <w:jc w:val="center"/>
        <w:rPr>
          <w:rFonts w:ascii="Arial" w:hAnsi="Arial" w:cs="Arial"/>
          <w:kern w:val="18"/>
          <w:sz w:val="24"/>
          <w:szCs w:val="24"/>
        </w:rPr>
      </w:pPr>
      <w:r w:rsidRPr="009533C6">
        <w:rPr>
          <w:rFonts w:ascii="Arial" w:eastAsia="Calibri" w:hAnsi="Arial" w:cs="Arial"/>
          <w:b/>
          <w:bCs/>
          <w:sz w:val="16"/>
          <w:szCs w:val="16"/>
          <w:lang w:eastAsia="en-US"/>
        </w:rPr>
        <w:t>El secretario ejecutivo</w:t>
      </w:r>
    </w:p>
    <w:sectPr w:rsidR="00EE5036" w:rsidRPr="00524DB3" w:rsidSect="009533C6">
      <w:headerReference w:type="even" r:id="rId9"/>
      <w:headerReference w:type="default" r:id="rId10"/>
      <w:footerReference w:type="default" r:id="rId11"/>
      <w:headerReference w:type="firs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6D08" w14:textId="77777777" w:rsidR="008E1C16" w:rsidRDefault="008E1C16" w:rsidP="00172E78">
      <w:pPr>
        <w:spacing w:after="0" w:line="240" w:lineRule="auto"/>
      </w:pPr>
      <w:r>
        <w:separator/>
      </w:r>
    </w:p>
  </w:endnote>
  <w:endnote w:type="continuationSeparator" w:id="0">
    <w:p w14:paraId="30F0EAE9" w14:textId="77777777" w:rsidR="008E1C16" w:rsidRDefault="008E1C16" w:rsidP="0017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2BD8" w14:textId="4149789D" w:rsidR="0007275B" w:rsidRPr="005A5017" w:rsidRDefault="0007275B">
    <w:pPr>
      <w:pStyle w:val="Piedepgina"/>
      <w:jc w:val="right"/>
      <w:rPr>
        <w:rFonts w:ascii="Trebuchet MS" w:hAnsi="Trebuchet MS"/>
        <w:sz w:val="16"/>
      </w:rPr>
    </w:pPr>
  </w:p>
  <w:p w14:paraId="67DDC4AC" w14:textId="77777777" w:rsidR="00524DB3" w:rsidRPr="00524DB3" w:rsidRDefault="00524DB3" w:rsidP="00524DB3">
    <w:pPr>
      <w:tabs>
        <w:tab w:val="center" w:pos="4419"/>
        <w:tab w:val="right" w:pos="8838"/>
      </w:tabs>
      <w:spacing w:after="0" w:line="240" w:lineRule="auto"/>
      <w:jc w:val="center"/>
      <w:rPr>
        <w:rFonts w:ascii="Arial" w:eastAsia="Times New Roman" w:hAnsi="Arial" w:cs="Arial"/>
        <w:bCs/>
        <w:color w:val="A6A6A6"/>
        <w:sz w:val="16"/>
        <w:szCs w:val="16"/>
        <w:lang w:val="es-ES"/>
      </w:rPr>
    </w:pPr>
    <w:r w:rsidRPr="00524DB3">
      <w:rPr>
        <w:rFonts w:ascii="Arial" w:eastAsia="Times New Roman" w:hAnsi="Arial" w:cs="Arial"/>
        <w:bCs/>
        <w:color w:val="A6A6A6"/>
        <w:sz w:val="16"/>
        <w:szCs w:val="16"/>
        <w:lang w:val="es-ES"/>
      </w:rPr>
      <w:t>Parque de las Estrellas 2764, colonia Jardines del Bosque Centro, Guadalajara, Jalisco, México. C.P.44520</w:t>
    </w:r>
    <w:r w:rsidR="009533C6">
      <w:rPr>
        <w:rFonts w:ascii="Arial" w:eastAsia="Times New Roman" w:hAnsi="Arial" w:cs="Arial"/>
        <w:bCs/>
        <w:noProof/>
        <w:color w:val="A6A6A6"/>
        <w:sz w:val="16"/>
        <w:szCs w:val="16"/>
        <w:lang w:val="es-ES"/>
      </w:rPr>
      <w:pict w14:anchorId="3AA505D6">
        <v:rect id="_x0000_i1030" alt="" style="width:376.95pt;height:.05pt;mso-width-percent:0;mso-height-percent:0;mso-width-percent:0;mso-height-percent:0" o:hrpct="853" o:hralign="center" o:hrstd="t" o:hr="t" fillcolor="#a0a0a0" stroked="f"/>
      </w:pict>
    </w:r>
  </w:p>
  <w:p w14:paraId="41CEE3D5" w14:textId="77777777" w:rsidR="00524DB3" w:rsidRPr="00524DB3" w:rsidRDefault="00524DB3" w:rsidP="00524DB3">
    <w:pPr>
      <w:tabs>
        <w:tab w:val="center" w:pos="4419"/>
        <w:tab w:val="right" w:pos="8838"/>
      </w:tabs>
      <w:spacing w:after="0" w:line="240" w:lineRule="auto"/>
      <w:jc w:val="center"/>
      <w:rPr>
        <w:rFonts w:ascii="Arial" w:eastAsia="Times New Roman" w:hAnsi="Arial" w:cs="Arial"/>
        <w:b/>
        <w:color w:val="7030A0"/>
        <w:sz w:val="16"/>
        <w:szCs w:val="16"/>
      </w:rPr>
    </w:pPr>
    <w:r w:rsidRPr="00524DB3">
      <w:rPr>
        <w:rFonts w:ascii="Arial" w:eastAsia="Times New Roman" w:hAnsi="Arial" w:cs="Arial"/>
        <w:b/>
        <w:bCs/>
        <w:color w:val="7030A0"/>
        <w:sz w:val="16"/>
        <w:szCs w:val="16"/>
      </w:rPr>
      <w:t>www.iepcjalisco.org.mx</w:t>
    </w:r>
  </w:p>
  <w:p w14:paraId="7E90F19B" w14:textId="47CF4592" w:rsidR="0007275B" w:rsidRPr="005A5017" w:rsidRDefault="00524DB3" w:rsidP="00524DB3">
    <w:pPr>
      <w:tabs>
        <w:tab w:val="center" w:pos="4419"/>
        <w:tab w:val="right" w:pos="8838"/>
      </w:tabs>
      <w:spacing w:after="0" w:line="240" w:lineRule="auto"/>
      <w:jc w:val="right"/>
      <w:rPr>
        <w:rFonts w:ascii="Trebuchet MS" w:hAnsi="Trebuchet MS"/>
        <w:sz w:val="16"/>
      </w:rPr>
    </w:pPr>
    <w:r w:rsidRPr="00524DB3">
      <w:rPr>
        <w:rFonts w:ascii="Arial" w:eastAsia="Calibri" w:hAnsi="Arial" w:cs="Arial"/>
        <w:sz w:val="16"/>
        <w:szCs w:val="16"/>
        <w:lang w:eastAsia="en-US"/>
      </w:rPr>
      <w:t xml:space="preserve">Página </w:t>
    </w:r>
    <w:r w:rsidRPr="00524DB3">
      <w:rPr>
        <w:rFonts w:ascii="Arial" w:eastAsia="Calibri" w:hAnsi="Arial" w:cs="Arial"/>
        <w:sz w:val="16"/>
        <w:szCs w:val="16"/>
        <w:lang w:eastAsia="en-US"/>
      </w:rPr>
      <w:fldChar w:fldCharType="begin"/>
    </w:r>
    <w:r w:rsidRPr="00524DB3">
      <w:rPr>
        <w:rFonts w:ascii="Arial" w:eastAsia="Calibri" w:hAnsi="Arial" w:cs="Arial"/>
        <w:sz w:val="16"/>
        <w:szCs w:val="16"/>
        <w:lang w:eastAsia="en-US"/>
      </w:rPr>
      <w:instrText xml:space="preserve"> PAGE </w:instrText>
    </w:r>
    <w:r w:rsidRPr="00524DB3">
      <w:rPr>
        <w:rFonts w:ascii="Arial" w:eastAsia="Calibri" w:hAnsi="Arial" w:cs="Arial"/>
        <w:sz w:val="16"/>
        <w:szCs w:val="16"/>
        <w:lang w:eastAsia="en-US"/>
      </w:rPr>
      <w:fldChar w:fldCharType="separate"/>
    </w:r>
    <w:r w:rsidR="005C3957">
      <w:rPr>
        <w:rFonts w:ascii="Arial" w:eastAsia="Calibri" w:hAnsi="Arial" w:cs="Arial"/>
        <w:noProof/>
        <w:sz w:val="16"/>
        <w:szCs w:val="16"/>
        <w:lang w:eastAsia="en-US"/>
      </w:rPr>
      <w:t>9</w:t>
    </w:r>
    <w:r w:rsidRPr="00524DB3">
      <w:rPr>
        <w:rFonts w:ascii="Arial" w:eastAsia="Calibri" w:hAnsi="Arial" w:cs="Arial"/>
        <w:sz w:val="16"/>
        <w:szCs w:val="16"/>
        <w:lang w:eastAsia="en-US"/>
      </w:rPr>
      <w:fldChar w:fldCharType="end"/>
    </w:r>
    <w:r w:rsidRPr="00524DB3">
      <w:rPr>
        <w:rFonts w:ascii="Arial" w:eastAsia="Calibri" w:hAnsi="Arial" w:cs="Arial"/>
        <w:sz w:val="16"/>
        <w:szCs w:val="16"/>
        <w:lang w:eastAsia="en-US"/>
      </w:rPr>
      <w:t xml:space="preserve"> de </w:t>
    </w:r>
    <w:r w:rsidRPr="00524DB3">
      <w:rPr>
        <w:rFonts w:ascii="Arial" w:eastAsia="Calibri" w:hAnsi="Arial" w:cs="Arial"/>
        <w:sz w:val="16"/>
        <w:szCs w:val="16"/>
        <w:lang w:eastAsia="en-US"/>
      </w:rPr>
      <w:fldChar w:fldCharType="begin"/>
    </w:r>
    <w:r w:rsidRPr="00524DB3">
      <w:rPr>
        <w:rFonts w:ascii="Arial" w:eastAsia="Calibri" w:hAnsi="Arial" w:cs="Arial"/>
        <w:sz w:val="16"/>
        <w:szCs w:val="16"/>
        <w:lang w:eastAsia="en-US"/>
      </w:rPr>
      <w:instrText xml:space="preserve"> NUMPAGES </w:instrText>
    </w:r>
    <w:r w:rsidRPr="00524DB3">
      <w:rPr>
        <w:rFonts w:ascii="Arial" w:eastAsia="Calibri" w:hAnsi="Arial" w:cs="Arial"/>
        <w:sz w:val="16"/>
        <w:szCs w:val="16"/>
        <w:lang w:eastAsia="en-US"/>
      </w:rPr>
      <w:fldChar w:fldCharType="separate"/>
    </w:r>
    <w:r w:rsidR="005C3957">
      <w:rPr>
        <w:rFonts w:ascii="Arial" w:eastAsia="Calibri" w:hAnsi="Arial" w:cs="Arial"/>
        <w:noProof/>
        <w:sz w:val="16"/>
        <w:szCs w:val="16"/>
        <w:lang w:eastAsia="en-US"/>
      </w:rPr>
      <w:t>9</w:t>
    </w:r>
    <w:r w:rsidRPr="00524DB3">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0EFE" w14:textId="77777777" w:rsidR="008E1C16" w:rsidRDefault="008E1C16" w:rsidP="00172E78">
      <w:pPr>
        <w:spacing w:after="0" w:line="240" w:lineRule="auto"/>
      </w:pPr>
      <w:r>
        <w:separator/>
      </w:r>
    </w:p>
  </w:footnote>
  <w:footnote w:type="continuationSeparator" w:id="0">
    <w:p w14:paraId="0D28632C" w14:textId="77777777" w:rsidR="008E1C16" w:rsidRDefault="008E1C16" w:rsidP="0017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3F07" w14:textId="04EA533D" w:rsidR="00C879A1" w:rsidRDefault="00C879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24DB3" w14:paraId="7B4F754A" w14:textId="77777777" w:rsidTr="008509CC">
      <w:tc>
        <w:tcPr>
          <w:tcW w:w="4414" w:type="dxa"/>
        </w:tcPr>
        <w:p w14:paraId="4CE3492D" w14:textId="2C50973E" w:rsidR="00524DB3" w:rsidRDefault="008509CC" w:rsidP="00524DB3">
          <w:pPr>
            <w:pStyle w:val="Encabezado"/>
            <w:spacing w:line="276" w:lineRule="auto"/>
            <w:rPr>
              <w:rFonts w:ascii="Arial" w:hAnsi="Arial" w:cs="Arial"/>
              <w:b/>
              <w:sz w:val="24"/>
              <w:szCs w:val="24"/>
            </w:rPr>
          </w:pPr>
          <w:r w:rsidRPr="008509CC">
            <w:rPr>
              <w:rFonts w:ascii="Calibri" w:eastAsia="Calibri" w:hAnsi="Calibri" w:cs="Times New Roman"/>
              <w:noProof/>
            </w:rPr>
            <w:drawing>
              <wp:inline distT="0" distB="0" distL="0" distR="0" wp14:anchorId="2AC6E43D" wp14:editId="2B2ED346">
                <wp:extent cx="1390650" cy="780956"/>
                <wp:effectExtent l="0" t="0" r="0" b="635"/>
                <wp:docPr id="3" name="Imagen 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414" w:type="dxa"/>
        </w:tcPr>
        <w:p w14:paraId="0D29CAD4" w14:textId="77777777" w:rsidR="008509CC" w:rsidRDefault="008509CC" w:rsidP="008509CC">
          <w:pPr>
            <w:pStyle w:val="Encabezado"/>
            <w:spacing w:line="276" w:lineRule="auto"/>
            <w:jc w:val="right"/>
            <w:rPr>
              <w:rFonts w:ascii="Arial" w:hAnsi="Arial" w:cs="Arial"/>
              <w:b/>
              <w:sz w:val="24"/>
              <w:szCs w:val="24"/>
            </w:rPr>
          </w:pPr>
        </w:p>
        <w:p w14:paraId="7BEBCFB7" w14:textId="77777777" w:rsidR="008509CC" w:rsidRDefault="008509CC" w:rsidP="008509CC">
          <w:pPr>
            <w:pStyle w:val="Encabezado"/>
            <w:spacing w:line="276" w:lineRule="auto"/>
            <w:jc w:val="right"/>
            <w:rPr>
              <w:rFonts w:ascii="Arial" w:hAnsi="Arial" w:cs="Arial"/>
              <w:b/>
              <w:sz w:val="24"/>
              <w:szCs w:val="24"/>
            </w:rPr>
          </w:pPr>
        </w:p>
        <w:p w14:paraId="467B17DE" w14:textId="6128903D" w:rsidR="00524DB3" w:rsidRDefault="008509CC" w:rsidP="008509CC">
          <w:pPr>
            <w:pStyle w:val="Encabezado"/>
            <w:spacing w:line="276" w:lineRule="auto"/>
            <w:jc w:val="right"/>
            <w:rPr>
              <w:rFonts w:ascii="Arial" w:hAnsi="Arial" w:cs="Arial"/>
              <w:b/>
              <w:sz w:val="24"/>
              <w:szCs w:val="24"/>
            </w:rPr>
          </w:pPr>
          <w:r>
            <w:rPr>
              <w:rFonts w:ascii="Arial" w:hAnsi="Arial" w:cs="Arial"/>
              <w:b/>
              <w:sz w:val="24"/>
              <w:szCs w:val="24"/>
            </w:rPr>
            <w:t>IEPC-ACG-</w:t>
          </w:r>
          <w:r w:rsidRPr="00D22941">
            <w:rPr>
              <w:rFonts w:ascii="Arial" w:hAnsi="Arial" w:cs="Arial"/>
              <w:b/>
              <w:sz w:val="24"/>
              <w:szCs w:val="24"/>
            </w:rPr>
            <w:t>00</w:t>
          </w:r>
          <w:r w:rsidR="009533C6">
            <w:rPr>
              <w:rFonts w:ascii="Arial" w:hAnsi="Arial" w:cs="Arial"/>
              <w:b/>
              <w:sz w:val="24"/>
              <w:szCs w:val="24"/>
            </w:rPr>
            <w:t>5</w:t>
          </w:r>
          <w:r w:rsidRPr="00D22941">
            <w:rPr>
              <w:rFonts w:ascii="Arial" w:hAnsi="Arial" w:cs="Arial"/>
              <w:b/>
              <w:sz w:val="24"/>
              <w:szCs w:val="24"/>
            </w:rPr>
            <w:t>/</w:t>
          </w:r>
          <w:r>
            <w:rPr>
              <w:rFonts w:ascii="Arial" w:hAnsi="Arial" w:cs="Arial"/>
              <w:b/>
              <w:sz w:val="24"/>
              <w:szCs w:val="24"/>
            </w:rPr>
            <w:t>2023</w:t>
          </w:r>
        </w:p>
      </w:tc>
    </w:tr>
  </w:tbl>
  <w:p w14:paraId="46491654" w14:textId="2C87ED67" w:rsidR="004E1B13" w:rsidRPr="00524DB3" w:rsidRDefault="004E1B13" w:rsidP="00524DB3">
    <w:pPr>
      <w:pStyle w:val="Encabezado"/>
      <w:spacing w:line="276" w:lineRule="auto"/>
      <w:rPr>
        <w:rFonts w:ascii="Arial" w:hAnsi="Arial" w:cs="Arial"/>
        <w:b/>
        <w:sz w:val="24"/>
        <w:szCs w:val="24"/>
      </w:rPr>
    </w:pPr>
  </w:p>
  <w:p w14:paraId="7CEA5EEB" w14:textId="1B5BBE65" w:rsidR="001A1107" w:rsidRDefault="00745BA0">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C9A" w14:textId="54B37DB4" w:rsidR="00C879A1" w:rsidRDefault="00C879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786"/>
        </w:tabs>
        <w:ind w:left="786" w:hanging="360"/>
      </w:pPr>
      <w:rPr>
        <w:rFonts w:hint="default"/>
        <w:b/>
        <w:color w:val="auto"/>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 w15:restartNumberingAfterBreak="0">
    <w:nsid w:val="04E97F9B"/>
    <w:multiLevelType w:val="hybridMultilevel"/>
    <w:tmpl w:val="DF16F3CE"/>
    <w:lvl w:ilvl="0" w:tplc="E8A48C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943489688">
    <w:abstractNumId w:val="0"/>
  </w:num>
  <w:num w:numId="2" w16cid:durableId="1148480281">
    <w:abstractNumId w:val="2"/>
  </w:num>
  <w:num w:numId="3" w16cid:durableId="129960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5C"/>
    <w:rsid w:val="0000088C"/>
    <w:rsid w:val="00002950"/>
    <w:rsid w:val="00013DCB"/>
    <w:rsid w:val="000152CB"/>
    <w:rsid w:val="000154EA"/>
    <w:rsid w:val="00020262"/>
    <w:rsid w:val="000229EC"/>
    <w:rsid w:val="000242AC"/>
    <w:rsid w:val="00027AF4"/>
    <w:rsid w:val="000436CD"/>
    <w:rsid w:val="00050602"/>
    <w:rsid w:val="00051689"/>
    <w:rsid w:val="00052A23"/>
    <w:rsid w:val="000713AB"/>
    <w:rsid w:val="0007275B"/>
    <w:rsid w:val="0007364C"/>
    <w:rsid w:val="00073D0F"/>
    <w:rsid w:val="00080FDF"/>
    <w:rsid w:val="00082357"/>
    <w:rsid w:val="0008244F"/>
    <w:rsid w:val="00094794"/>
    <w:rsid w:val="000A0DD1"/>
    <w:rsid w:val="000A1194"/>
    <w:rsid w:val="000A5799"/>
    <w:rsid w:val="000B2A34"/>
    <w:rsid w:val="000B4749"/>
    <w:rsid w:val="000C7E9B"/>
    <w:rsid w:val="000D0147"/>
    <w:rsid w:val="000D4573"/>
    <w:rsid w:val="000D6BB3"/>
    <w:rsid w:val="000E366F"/>
    <w:rsid w:val="000F0AF1"/>
    <w:rsid w:val="000F32E5"/>
    <w:rsid w:val="000F3D54"/>
    <w:rsid w:val="00103063"/>
    <w:rsid w:val="00107C94"/>
    <w:rsid w:val="00115AAC"/>
    <w:rsid w:val="00117521"/>
    <w:rsid w:val="001307B7"/>
    <w:rsid w:val="00132A97"/>
    <w:rsid w:val="001441E0"/>
    <w:rsid w:val="001646B3"/>
    <w:rsid w:val="0016560E"/>
    <w:rsid w:val="00166BC3"/>
    <w:rsid w:val="00172E78"/>
    <w:rsid w:val="00187AF4"/>
    <w:rsid w:val="001904B9"/>
    <w:rsid w:val="00192AF4"/>
    <w:rsid w:val="001A00EF"/>
    <w:rsid w:val="001A1107"/>
    <w:rsid w:val="001A2F83"/>
    <w:rsid w:val="001A6663"/>
    <w:rsid w:val="001B295B"/>
    <w:rsid w:val="001B68EA"/>
    <w:rsid w:val="001B78E7"/>
    <w:rsid w:val="001C04E6"/>
    <w:rsid w:val="001C420F"/>
    <w:rsid w:val="001D3CDF"/>
    <w:rsid w:val="001D6CD4"/>
    <w:rsid w:val="001E34AF"/>
    <w:rsid w:val="001E4E8A"/>
    <w:rsid w:val="001E5D5B"/>
    <w:rsid w:val="001E7869"/>
    <w:rsid w:val="001F0C2E"/>
    <w:rsid w:val="001F207C"/>
    <w:rsid w:val="001F4FC5"/>
    <w:rsid w:val="001F5DA5"/>
    <w:rsid w:val="001F78FF"/>
    <w:rsid w:val="002016BF"/>
    <w:rsid w:val="00201975"/>
    <w:rsid w:val="00201A85"/>
    <w:rsid w:val="00205538"/>
    <w:rsid w:val="0021270F"/>
    <w:rsid w:val="002160F2"/>
    <w:rsid w:val="00216E8A"/>
    <w:rsid w:val="00234D87"/>
    <w:rsid w:val="00241881"/>
    <w:rsid w:val="00243E5C"/>
    <w:rsid w:val="00245192"/>
    <w:rsid w:val="0025111A"/>
    <w:rsid w:val="00251F5B"/>
    <w:rsid w:val="00252D50"/>
    <w:rsid w:val="002533F5"/>
    <w:rsid w:val="00254118"/>
    <w:rsid w:val="00255AD4"/>
    <w:rsid w:val="0026305B"/>
    <w:rsid w:val="00264837"/>
    <w:rsid w:val="00265CB2"/>
    <w:rsid w:val="00266D31"/>
    <w:rsid w:val="00282031"/>
    <w:rsid w:val="00287A9B"/>
    <w:rsid w:val="002A1D21"/>
    <w:rsid w:val="002B0F72"/>
    <w:rsid w:val="002B2040"/>
    <w:rsid w:val="002C0ECE"/>
    <w:rsid w:val="002C46C2"/>
    <w:rsid w:val="002D22F9"/>
    <w:rsid w:val="002D68CB"/>
    <w:rsid w:val="002E3B16"/>
    <w:rsid w:val="002E3F78"/>
    <w:rsid w:val="002E7322"/>
    <w:rsid w:val="002E771C"/>
    <w:rsid w:val="002F14C9"/>
    <w:rsid w:val="002F38E0"/>
    <w:rsid w:val="002F6214"/>
    <w:rsid w:val="002F7D20"/>
    <w:rsid w:val="002F7FD9"/>
    <w:rsid w:val="00303856"/>
    <w:rsid w:val="00303F4B"/>
    <w:rsid w:val="003137FA"/>
    <w:rsid w:val="00314F39"/>
    <w:rsid w:val="00322DAB"/>
    <w:rsid w:val="00333309"/>
    <w:rsid w:val="003448F6"/>
    <w:rsid w:val="003452B2"/>
    <w:rsid w:val="003464D0"/>
    <w:rsid w:val="00350C90"/>
    <w:rsid w:val="00351F25"/>
    <w:rsid w:val="00356AAB"/>
    <w:rsid w:val="003629B1"/>
    <w:rsid w:val="00365064"/>
    <w:rsid w:val="00366321"/>
    <w:rsid w:val="003732D6"/>
    <w:rsid w:val="00375E17"/>
    <w:rsid w:val="00382E8B"/>
    <w:rsid w:val="00386B0C"/>
    <w:rsid w:val="00386D37"/>
    <w:rsid w:val="00387217"/>
    <w:rsid w:val="00387267"/>
    <w:rsid w:val="0038733A"/>
    <w:rsid w:val="0039018D"/>
    <w:rsid w:val="00392BFC"/>
    <w:rsid w:val="003977B3"/>
    <w:rsid w:val="003A0CA9"/>
    <w:rsid w:val="003A6C78"/>
    <w:rsid w:val="003A6D1C"/>
    <w:rsid w:val="003B3B06"/>
    <w:rsid w:val="003B3EA1"/>
    <w:rsid w:val="003C36AB"/>
    <w:rsid w:val="003C3E8F"/>
    <w:rsid w:val="003C48C7"/>
    <w:rsid w:val="003E2830"/>
    <w:rsid w:val="003F13B5"/>
    <w:rsid w:val="003F1DB7"/>
    <w:rsid w:val="003F27B8"/>
    <w:rsid w:val="003F5FC0"/>
    <w:rsid w:val="00400B11"/>
    <w:rsid w:val="0041390D"/>
    <w:rsid w:val="00414959"/>
    <w:rsid w:val="00414CBC"/>
    <w:rsid w:val="004172B4"/>
    <w:rsid w:val="00417422"/>
    <w:rsid w:val="0042312B"/>
    <w:rsid w:val="00424B00"/>
    <w:rsid w:val="00425022"/>
    <w:rsid w:val="00426865"/>
    <w:rsid w:val="00427D4E"/>
    <w:rsid w:val="00432B75"/>
    <w:rsid w:val="00434B0B"/>
    <w:rsid w:val="00447C21"/>
    <w:rsid w:val="00452288"/>
    <w:rsid w:val="00452D61"/>
    <w:rsid w:val="0045407A"/>
    <w:rsid w:val="00454DFB"/>
    <w:rsid w:val="00457440"/>
    <w:rsid w:val="00457B4E"/>
    <w:rsid w:val="0046100A"/>
    <w:rsid w:val="00462600"/>
    <w:rsid w:val="00466323"/>
    <w:rsid w:val="00467F7C"/>
    <w:rsid w:val="00475652"/>
    <w:rsid w:val="004874E2"/>
    <w:rsid w:val="00491DFF"/>
    <w:rsid w:val="00496C8A"/>
    <w:rsid w:val="004A2692"/>
    <w:rsid w:val="004A345C"/>
    <w:rsid w:val="004A532C"/>
    <w:rsid w:val="004B000B"/>
    <w:rsid w:val="004B0A0F"/>
    <w:rsid w:val="004B2083"/>
    <w:rsid w:val="004B22BD"/>
    <w:rsid w:val="004B2435"/>
    <w:rsid w:val="004B2639"/>
    <w:rsid w:val="004B7CCE"/>
    <w:rsid w:val="004C0420"/>
    <w:rsid w:val="004C0531"/>
    <w:rsid w:val="004C6983"/>
    <w:rsid w:val="004D0AEF"/>
    <w:rsid w:val="004E1B13"/>
    <w:rsid w:val="004E4C6D"/>
    <w:rsid w:val="004E57E3"/>
    <w:rsid w:val="004F3257"/>
    <w:rsid w:val="004F75C3"/>
    <w:rsid w:val="00502E84"/>
    <w:rsid w:val="00505269"/>
    <w:rsid w:val="00511A24"/>
    <w:rsid w:val="00513929"/>
    <w:rsid w:val="00514FE8"/>
    <w:rsid w:val="0051755B"/>
    <w:rsid w:val="00520F66"/>
    <w:rsid w:val="00521897"/>
    <w:rsid w:val="005240D7"/>
    <w:rsid w:val="00524DB3"/>
    <w:rsid w:val="005258CE"/>
    <w:rsid w:val="0053483F"/>
    <w:rsid w:val="00542FD7"/>
    <w:rsid w:val="0054485E"/>
    <w:rsid w:val="00553D24"/>
    <w:rsid w:val="00561645"/>
    <w:rsid w:val="00561F9B"/>
    <w:rsid w:val="00567209"/>
    <w:rsid w:val="0056784D"/>
    <w:rsid w:val="00575930"/>
    <w:rsid w:val="00581ADA"/>
    <w:rsid w:val="00581C15"/>
    <w:rsid w:val="005849BB"/>
    <w:rsid w:val="00584A2F"/>
    <w:rsid w:val="00586FA0"/>
    <w:rsid w:val="0059443D"/>
    <w:rsid w:val="005A1890"/>
    <w:rsid w:val="005A1D53"/>
    <w:rsid w:val="005A5017"/>
    <w:rsid w:val="005A5552"/>
    <w:rsid w:val="005A55BE"/>
    <w:rsid w:val="005A6FA5"/>
    <w:rsid w:val="005B51A0"/>
    <w:rsid w:val="005C3535"/>
    <w:rsid w:val="005C3957"/>
    <w:rsid w:val="005C7634"/>
    <w:rsid w:val="005C7D98"/>
    <w:rsid w:val="005D2D80"/>
    <w:rsid w:val="005D5838"/>
    <w:rsid w:val="005D6700"/>
    <w:rsid w:val="005D7531"/>
    <w:rsid w:val="005E0EC7"/>
    <w:rsid w:val="005E6CC4"/>
    <w:rsid w:val="005E7415"/>
    <w:rsid w:val="005F0D92"/>
    <w:rsid w:val="005F36A9"/>
    <w:rsid w:val="005F5B87"/>
    <w:rsid w:val="005F646C"/>
    <w:rsid w:val="006014C6"/>
    <w:rsid w:val="00606D4A"/>
    <w:rsid w:val="006128B3"/>
    <w:rsid w:val="00614EC2"/>
    <w:rsid w:val="00621426"/>
    <w:rsid w:val="00624C6F"/>
    <w:rsid w:val="006271C5"/>
    <w:rsid w:val="006279F0"/>
    <w:rsid w:val="00634703"/>
    <w:rsid w:val="00635C96"/>
    <w:rsid w:val="006367DA"/>
    <w:rsid w:val="006408EB"/>
    <w:rsid w:val="006562CD"/>
    <w:rsid w:val="00660A53"/>
    <w:rsid w:val="00664653"/>
    <w:rsid w:val="00670BCB"/>
    <w:rsid w:val="006714E0"/>
    <w:rsid w:val="0067156B"/>
    <w:rsid w:val="00671868"/>
    <w:rsid w:val="00675F93"/>
    <w:rsid w:val="00676DE7"/>
    <w:rsid w:val="00681BCD"/>
    <w:rsid w:val="0068731D"/>
    <w:rsid w:val="0069193D"/>
    <w:rsid w:val="0069414C"/>
    <w:rsid w:val="006964E3"/>
    <w:rsid w:val="006967E7"/>
    <w:rsid w:val="006A1F81"/>
    <w:rsid w:val="006A231E"/>
    <w:rsid w:val="006A6CCD"/>
    <w:rsid w:val="006B1861"/>
    <w:rsid w:val="006B6423"/>
    <w:rsid w:val="006C14BE"/>
    <w:rsid w:val="006C29DF"/>
    <w:rsid w:val="006C4F57"/>
    <w:rsid w:val="006C5074"/>
    <w:rsid w:val="006C5C3D"/>
    <w:rsid w:val="006C77FB"/>
    <w:rsid w:val="006C7D97"/>
    <w:rsid w:val="006D6153"/>
    <w:rsid w:val="006E1F31"/>
    <w:rsid w:val="006E31C6"/>
    <w:rsid w:val="006F3329"/>
    <w:rsid w:val="007248C6"/>
    <w:rsid w:val="00724B3B"/>
    <w:rsid w:val="00726DF1"/>
    <w:rsid w:val="00732AAC"/>
    <w:rsid w:val="007415C5"/>
    <w:rsid w:val="00743348"/>
    <w:rsid w:val="00743D3D"/>
    <w:rsid w:val="007454A0"/>
    <w:rsid w:val="00745BA0"/>
    <w:rsid w:val="00747FB6"/>
    <w:rsid w:val="00752A73"/>
    <w:rsid w:val="007546E7"/>
    <w:rsid w:val="0075656E"/>
    <w:rsid w:val="00757CD0"/>
    <w:rsid w:val="00757CF9"/>
    <w:rsid w:val="00762659"/>
    <w:rsid w:val="00776CEF"/>
    <w:rsid w:val="00777D41"/>
    <w:rsid w:val="0078055F"/>
    <w:rsid w:val="007807D1"/>
    <w:rsid w:val="007833D7"/>
    <w:rsid w:val="00784E02"/>
    <w:rsid w:val="00792952"/>
    <w:rsid w:val="00793D0A"/>
    <w:rsid w:val="0079403F"/>
    <w:rsid w:val="007A746B"/>
    <w:rsid w:val="007B1C24"/>
    <w:rsid w:val="007B2131"/>
    <w:rsid w:val="007B509A"/>
    <w:rsid w:val="007D15BB"/>
    <w:rsid w:val="007D6808"/>
    <w:rsid w:val="007E1416"/>
    <w:rsid w:val="007E3C33"/>
    <w:rsid w:val="007F1D9D"/>
    <w:rsid w:val="007F4676"/>
    <w:rsid w:val="00806780"/>
    <w:rsid w:val="00813CF0"/>
    <w:rsid w:val="00817161"/>
    <w:rsid w:val="008219FC"/>
    <w:rsid w:val="008232A8"/>
    <w:rsid w:val="00825874"/>
    <w:rsid w:val="00842F12"/>
    <w:rsid w:val="008440B2"/>
    <w:rsid w:val="008440BA"/>
    <w:rsid w:val="00845095"/>
    <w:rsid w:val="008509CC"/>
    <w:rsid w:val="008523AF"/>
    <w:rsid w:val="008532D3"/>
    <w:rsid w:val="00854C6E"/>
    <w:rsid w:val="00863C7E"/>
    <w:rsid w:val="0087258B"/>
    <w:rsid w:val="00875ED6"/>
    <w:rsid w:val="00876582"/>
    <w:rsid w:val="00881E9B"/>
    <w:rsid w:val="00885679"/>
    <w:rsid w:val="008934C3"/>
    <w:rsid w:val="00895232"/>
    <w:rsid w:val="008A66DF"/>
    <w:rsid w:val="008B1551"/>
    <w:rsid w:val="008B3FAD"/>
    <w:rsid w:val="008C0478"/>
    <w:rsid w:val="008C1D05"/>
    <w:rsid w:val="008D3D4F"/>
    <w:rsid w:val="008D45B1"/>
    <w:rsid w:val="008E1C16"/>
    <w:rsid w:val="008E6002"/>
    <w:rsid w:val="009012A3"/>
    <w:rsid w:val="009039B8"/>
    <w:rsid w:val="0090512F"/>
    <w:rsid w:val="00907F9C"/>
    <w:rsid w:val="009256FA"/>
    <w:rsid w:val="009259AA"/>
    <w:rsid w:val="009272F5"/>
    <w:rsid w:val="00930419"/>
    <w:rsid w:val="00933983"/>
    <w:rsid w:val="00935183"/>
    <w:rsid w:val="009355EC"/>
    <w:rsid w:val="00940BE3"/>
    <w:rsid w:val="009418EF"/>
    <w:rsid w:val="00941B59"/>
    <w:rsid w:val="00941F84"/>
    <w:rsid w:val="009533C6"/>
    <w:rsid w:val="009624E1"/>
    <w:rsid w:val="00970F70"/>
    <w:rsid w:val="00971B89"/>
    <w:rsid w:val="00974947"/>
    <w:rsid w:val="0097512B"/>
    <w:rsid w:val="00983476"/>
    <w:rsid w:val="009902BC"/>
    <w:rsid w:val="00990C49"/>
    <w:rsid w:val="00992943"/>
    <w:rsid w:val="009A018F"/>
    <w:rsid w:val="009A1B6E"/>
    <w:rsid w:val="009A2C15"/>
    <w:rsid w:val="009A3DA6"/>
    <w:rsid w:val="009A71AA"/>
    <w:rsid w:val="009B2CB0"/>
    <w:rsid w:val="009B7833"/>
    <w:rsid w:val="009C500C"/>
    <w:rsid w:val="009D5C3D"/>
    <w:rsid w:val="009D6E6D"/>
    <w:rsid w:val="009E280F"/>
    <w:rsid w:val="009E295D"/>
    <w:rsid w:val="009E49E8"/>
    <w:rsid w:val="009E4B25"/>
    <w:rsid w:val="009F4B5C"/>
    <w:rsid w:val="00A02C8B"/>
    <w:rsid w:val="00A13263"/>
    <w:rsid w:val="00A16158"/>
    <w:rsid w:val="00A20D15"/>
    <w:rsid w:val="00A2173D"/>
    <w:rsid w:val="00A2496E"/>
    <w:rsid w:val="00A26C9D"/>
    <w:rsid w:val="00A27393"/>
    <w:rsid w:val="00A30DBF"/>
    <w:rsid w:val="00A356DC"/>
    <w:rsid w:val="00A35BAE"/>
    <w:rsid w:val="00A40BCE"/>
    <w:rsid w:val="00A4248A"/>
    <w:rsid w:val="00A42CF2"/>
    <w:rsid w:val="00A43489"/>
    <w:rsid w:val="00A43510"/>
    <w:rsid w:val="00A4705E"/>
    <w:rsid w:val="00A51427"/>
    <w:rsid w:val="00A56F13"/>
    <w:rsid w:val="00A57DCD"/>
    <w:rsid w:val="00A618B9"/>
    <w:rsid w:val="00A624DD"/>
    <w:rsid w:val="00A63DDC"/>
    <w:rsid w:val="00A64F4C"/>
    <w:rsid w:val="00A67513"/>
    <w:rsid w:val="00A7101A"/>
    <w:rsid w:val="00A71B2D"/>
    <w:rsid w:val="00A7438A"/>
    <w:rsid w:val="00A751AE"/>
    <w:rsid w:val="00A84AEB"/>
    <w:rsid w:val="00A86122"/>
    <w:rsid w:val="00A90678"/>
    <w:rsid w:val="00A966C3"/>
    <w:rsid w:val="00A97AA1"/>
    <w:rsid w:val="00AA10DF"/>
    <w:rsid w:val="00AA2130"/>
    <w:rsid w:val="00AA4BFA"/>
    <w:rsid w:val="00AA5AA4"/>
    <w:rsid w:val="00AA7565"/>
    <w:rsid w:val="00AB3633"/>
    <w:rsid w:val="00AB5565"/>
    <w:rsid w:val="00AB707D"/>
    <w:rsid w:val="00AB7622"/>
    <w:rsid w:val="00AC20FB"/>
    <w:rsid w:val="00AC3AB4"/>
    <w:rsid w:val="00AD6ABF"/>
    <w:rsid w:val="00AD6B64"/>
    <w:rsid w:val="00AE226A"/>
    <w:rsid w:val="00AE6060"/>
    <w:rsid w:val="00AF10C8"/>
    <w:rsid w:val="00AF26E3"/>
    <w:rsid w:val="00AF36A9"/>
    <w:rsid w:val="00B01FD7"/>
    <w:rsid w:val="00B02754"/>
    <w:rsid w:val="00B03A93"/>
    <w:rsid w:val="00B055FD"/>
    <w:rsid w:val="00B05EE5"/>
    <w:rsid w:val="00B10573"/>
    <w:rsid w:val="00B17250"/>
    <w:rsid w:val="00B21FF7"/>
    <w:rsid w:val="00B22655"/>
    <w:rsid w:val="00B228F6"/>
    <w:rsid w:val="00B25F1A"/>
    <w:rsid w:val="00B30308"/>
    <w:rsid w:val="00B3163A"/>
    <w:rsid w:val="00B334AD"/>
    <w:rsid w:val="00B342E4"/>
    <w:rsid w:val="00B3529E"/>
    <w:rsid w:val="00B44644"/>
    <w:rsid w:val="00B47E26"/>
    <w:rsid w:val="00B53010"/>
    <w:rsid w:val="00B56A55"/>
    <w:rsid w:val="00B62FB3"/>
    <w:rsid w:val="00B6420A"/>
    <w:rsid w:val="00B65122"/>
    <w:rsid w:val="00B90097"/>
    <w:rsid w:val="00B902FA"/>
    <w:rsid w:val="00B96A5E"/>
    <w:rsid w:val="00BA00C7"/>
    <w:rsid w:val="00BA676B"/>
    <w:rsid w:val="00BB74B3"/>
    <w:rsid w:val="00BB785E"/>
    <w:rsid w:val="00BC0FC1"/>
    <w:rsid w:val="00BC2290"/>
    <w:rsid w:val="00BC6A74"/>
    <w:rsid w:val="00BD352C"/>
    <w:rsid w:val="00BD3F37"/>
    <w:rsid w:val="00BE3708"/>
    <w:rsid w:val="00BE64E9"/>
    <w:rsid w:val="00C00A5C"/>
    <w:rsid w:val="00C04525"/>
    <w:rsid w:val="00C05500"/>
    <w:rsid w:val="00C10720"/>
    <w:rsid w:val="00C11048"/>
    <w:rsid w:val="00C169B4"/>
    <w:rsid w:val="00C2101D"/>
    <w:rsid w:val="00C253E0"/>
    <w:rsid w:val="00C2648E"/>
    <w:rsid w:val="00C266EC"/>
    <w:rsid w:val="00C32C0E"/>
    <w:rsid w:val="00C3378E"/>
    <w:rsid w:val="00C373CF"/>
    <w:rsid w:val="00C40232"/>
    <w:rsid w:val="00C408F9"/>
    <w:rsid w:val="00C41EA2"/>
    <w:rsid w:val="00C51D22"/>
    <w:rsid w:val="00C51FCD"/>
    <w:rsid w:val="00C5256C"/>
    <w:rsid w:val="00C5387A"/>
    <w:rsid w:val="00C67A83"/>
    <w:rsid w:val="00C74830"/>
    <w:rsid w:val="00C76B41"/>
    <w:rsid w:val="00C76D95"/>
    <w:rsid w:val="00C8046C"/>
    <w:rsid w:val="00C80E62"/>
    <w:rsid w:val="00C879A1"/>
    <w:rsid w:val="00C91A5E"/>
    <w:rsid w:val="00C962E2"/>
    <w:rsid w:val="00CA0692"/>
    <w:rsid w:val="00CB7D99"/>
    <w:rsid w:val="00CD62B1"/>
    <w:rsid w:val="00CD6A62"/>
    <w:rsid w:val="00CD6D53"/>
    <w:rsid w:val="00CE1CF9"/>
    <w:rsid w:val="00CE3B5A"/>
    <w:rsid w:val="00CE5121"/>
    <w:rsid w:val="00CF0D81"/>
    <w:rsid w:val="00CF7D45"/>
    <w:rsid w:val="00D02C28"/>
    <w:rsid w:val="00D06910"/>
    <w:rsid w:val="00D131E8"/>
    <w:rsid w:val="00D21DD8"/>
    <w:rsid w:val="00D22941"/>
    <w:rsid w:val="00D23586"/>
    <w:rsid w:val="00D24EFD"/>
    <w:rsid w:val="00D2562D"/>
    <w:rsid w:val="00D32ABD"/>
    <w:rsid w:val="00D36011"/>
    <w:rsid w:val="00D37382"/>
    <w:rsid w:val="00D43FB5"/>
    <w:rsid w:val="00D448D3"/>
    <w:rsid w:val="00D664A7"/>
    <w:rsid w:val="00D66DDA"/>
    <w:rsid w:val="00D71560"/>
    <w:rsid w:val="00D76F31"/>
    <w:rsid w:val="00D77424"/>
    <w:rsid w:val="00D8187D"/>
    <w:rsid w:val="00D8261B"/>
    <w:rsid w:val="00D911E3"/>
    <w:rsid w:val="00D91646"/>
    <w:rsid w:val="00D917AA"/>
    <w:rsid w:val="00DA1830"/>
    <w:rsid w:val="00DB4EB3"/>
    <w:rsid w:val="00DB5CF5"/>
    <w:rsid w:val="00DD0931"/>
    <w:rsid w:val="00DD0DA0"/>
    <w:rsid w:val="00DE3952"/>
    <w:rsid w:val="00DE471E"/>
    <w:rsid w:val="00DE6F18"/>
    <w:rsid w:val="00DF5242"/>
    <w:rsid w:val="00DF617E"/>
    <w:rsid w:val="00E0187D"/>
    <w:rsid w:val="00E11B92"/>
    <w:rsid w:val="00E13B2D"/>
    <w:rsid w:val="00E22303"/>
    <w:rsid w:val="00E2657C"/>
    <w:rsid w:val="00E27483"/>
    <w:rsid w:val="00E302FD"/>
    <w:rsid w:val="00E321AB"/>
    <w:rsid w:val="00E41371"/>
    <w:rsid w:val="00E43DC5"/>
    <w:rsid w:val="00E46857"/>
    <w:rsid w:val="00E50F69"/>
    <w:rsid w:val="00E5246F"/>
    <w:rsid w:val="00E52F2E"/>
    <w:rsid w:val="00E57D3D"/>
    <w:rsid w:val="00E64F2C"/>
    <w:rsid w:val="00E737AC"/>
    <w:rsid w:val="00E73AB0"/>
    <w:rsid w:val="00E774D1"/>
    <w:rsid w:val="00E86C55"/>
    <w:rsid w:val="00E92F3F"/>
    <w:rsid w:val="00EA0DDC"/>
    <w:rsid w:val="00EA1B23"/>
    <w:rsid w:val="00EA53CA"/>
    <w:rsid w:val="00EB303B"/>
    <w:rsid w:val="00EB5245"/>
    <w:rsid w:val="00EC0D93"/>
    <w:rsid w:val="00EC62C8"/>
    <w:rsid w:val="00ED3A07"/>
    <w:rsid w:val="00ED6B16"/>
    <w:rsid w:val="00ED759A"/>
    <w:rsid w:val="00EE0EF9"/>
    <w:rsid w:val="00EE146D"/>
    <w:rsid w:val="00EE1BA6"/>
    <w:rsid w:val="00EE3177"/>
    <w:rsid w:val="00EE4A40"/>
    <w:rsid w:val="00EE5036"/>
    <w:rsid w:val="00EF2E1C"/>
    <w:rsid w:val="00EF3ED1"/>
    <w:rsid w:val="00EF5070"/>
    <w:rsid w:val="00F046C8"/>
    <w:rsid w:val="00F1600C"/>
    <w:rsid w:val="00F17023"/>
    <w:rsid w:val="00F17EDE"/>
    <w:rsid w:val="00F213B8"/>
    <w:rsid w:val="00F36E7E"/>
    <w:rsid w:val="00F41DC2"/>
    <w:rsid w:val="00F430E6"/>
    <w:rsid w:val="00F441B8"/>
    <w:rsid w:val="00F4706E"/>
    <w:rsid w:val="00F50979"/>
    <w:rsid w:val="00F60688"/>
    <w:rsid w:val="00F71B79"/>
    <w:rsid w:val="00F72EFA"/>
    <w:rsid w:val="00F73F96"/>
    <w:rsid w:val="00F8140C"/>
    <w:rsid w:val="00F867DB"/>
    <w:rsid w:val="00F875FF"/>
    <w:rsid w:val="00F91F7D"/>
    <w:rsid w:val="00F930C2"/>
    <w:rsid w:val="00F93C05"/>
    <w:rsid w:val="00F95883"/>
    <w:rsid w:val="00F97141"/>
    <w:rsid w:val="00FA701C"/>
    <w:rsid w:val="00FC7893"/>
    <w:rsid w:val="00FD7916"/>
    <w:rsid w:val="00FE6529"/>
    <w:rsid w:val="00FF0F7B"/>
    <w:rsid w:val="00FF3288"/>
    <w:rsid w:val="00FF522B"/>
    <w:rsid w:val="00FF6D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A1A6610"/>
  <w15:docId w15:val="{F400E520-B352-45D4-A6F2-2532B34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03"/>
  </w:style>
  <w:style w:type="paragraph" w:styleId="Ttulo1">
    <w:name w:val="heading 1"/>
    <w:basedOn w:val="Normal"/>
    <w:link w:val="Ttulo1Car"/>
    <w:uiPriority w:val="1"/>
    <w:qFormat/>
    <w:rsid w:val="0000088C"/>
    <w:pPr>
      <w:widowControl w:val="0"/>
      <w:autoSpaceDE w:val="0"/>
      <w:autoSpaceDN w:val="0"/>
      <w:spacing w:after="0" w:line="240" w:lineRule="auto"/>
      <w:ind w:left="682"/>
      <w:jc w:val="center"/>
      <w:outlineLvl w:val="0"/>
    </w:pPr>
    <w:rPr>
      <w:rFonts w:ascii="Trebuchet MS" w:eastAsia="Trebuchet MS" w:hAnsi="Trebuchet MS" w:cs="Trebuchet MS"/>
      <w:b/>
      <w:b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45C"/>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4A345C"/>
    <w:pPr>
      <w:spacing w:after="0" w:line="240" w:lineRule="auto"/>
    </w:pPr>
  </w:style>
  <w:style w:type="paragraph" w:styleId="Encabezado">
    <w:name w:val="header"/>
    <w:basedOn w:val="Normal"/>
    <w:link w:val="EncabezadoCar"/>
    <w:uiPriority w:val="99"/>
    <w:unhideWhenUsed/>
    <w:rsid w:val="00172E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E78"/>
  </w:style>
  <w:style w:type="paragraph" w:styleId="Piedepgina">
    <w:name w:val="footer"/>
    <w:basedOn w:val="Normal"/>
    <w:link w:val="PiedepginaCar"/>
    <w:uiPriority w:val="99"/>
    <w:unhideWhenUsed/>
    <w:rsid w:val="00172E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E78"/>
  </w:style>
  <w:style w:type="paragraph" w:styleId="Textodeglobo">
    <w:name w:val="Balloon Text"/>
    <w:basedOn w:val="Normal"/>
    <w:link w:val="TextodegloboCar"/>
    <w:uiPriority w:val="99"/>
    <w:semiHidden/>
    <w:unhideWhenUsed/>
    <w:rsid w:val="00971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B89"/>
    <w:rPr>
      <w:rFonts w:ascii="Tahoma" w:hAnsi="Tahoma" w:cs="Tahoma"/>
      <w:sz w:val="16"/>
      <w:szCs w:val="16"/>
    </w:rPr>
  </w:style>
  <w:style w:type="paragraph" w:customStyle="1" w:styleId="Texto">
    <w:name w:val="Texto"/>
    <w:basedOn w:val="Normal"/>
    <w:link w:val="TextoCar"/>
    <w:rsid w:val="005E6CC4"/>
    <w:pPr>
      <w:spacing w:after="101" w:line="216" w:lineRule="exact"/>
      <w:ind w:firstLine="288"/>
      <w:jc w:val="both"/>
    </w:pPr>
    <w:rPr>
      <w:rFonts w:ascii="Arial" w:eastAsia="Times New Roman" w:hAnsi="Arial" w:cs="Times New Roman"/>
      <w:sz w:val="18"/>
      <w:szCs w:val="18"/>
      <w:lang w:eastAsia="es-ES"/>
    </w:rPr>
  </w:style>
  <w:style w:type="character" w:customStyle="1" w:styleId="TextoCar">
    <w:name w:val="Texto Car"/>
    <w:link w:val="Texto"/>
    <w:locked/>
    <w:rsid w:val="005E6CC4"/>
    <w:rPr>
      <w:rFonts w:ascii="Arial" w:eastAsia="Times New Roman" w:hAnsi="Arial" w:cs="Times New Roman"/>
      <w:sz w:val="18"/>
      <w:szCs w:val="18"/>
      <w:lang w:eastAsia="es-ES"/>
    </w:rPr>
  </w:style>
  <w:style w:type="paragraph" w:styleId="Textoindependiente">
    <w:name w:val="Body Text"/>
    <w:basedOn w:val="Normal"/>
    <w:link w:val="TextoindependienteCar"/>
    <w:rsid w:val="002F6214"/>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2F6214"/>
    <w:rPr>
      <w:rFonts w:ascii="Arial" w:eastAsia="Times New Roman" w:hAnsi="Arial" w:cs="Times New Roman"/>
      <w:b/>
      <w:kern w:val="18"/>
      <w:sz w:val="28"/>
      <w:szCs w:val="20"/>
      <w:lang w:eastAsia="es-ES"/>
    </w:rPr>
  </w:style>
  <w:style w:type="character" w:customStyle="1" w:styleId="SinespaciadoCar">
    <w:name w:val="Sin espaciado Car"/>
    <w:link w:val="Sinespaciado"/>
    <w:uiPriority w:val="1"/>
    <w:locked/>
    <w:rsid w:val="002F6214"/>
  </w:style>
  <w:style w:type="character" w:customStyle="1" w:styleId="Ttulo1Car">
    <w:name w:val="Título 1 Car"/>
    <w:basedOn w:val="Fuentedeprrafopredeter"/>
    <w:link w:val="Ttulo1"/>
    <w:uiPriority w:val="1"/>
    <w:rsid w:val="0000088C"/>
    <w:rPr>
      <w:rFonts w:ascii="Trebuchet MS" w:eastAsia="Trebuchet MS" w:hAnsi="Trebuchet MS" w:cs="Trebuchet MS"/>
      <w:b/>
      <w:bCs/>
      <w:sz w:val="24"/>
      <w:szCs w:val="24"/>
      <w:lang w:val="es-ES" w:eastAsia="en-US"/>
    </w:rPr>
  </w:style>
  <w:style w:type="table" w:styleId="Tablaconcuadrcula">
    <w:name w:val="Table Grid"/>
    <w:basedOn w:val="Tablanormal"/>
    <w:uiPriority w:val="59"/>
    <w:rsid w:val="0052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09CC"/>
    <w:pPr>
      <w:spacing w:after="0" w:line="240" w:lineRule="auto"/>
    </w:pPr>
  </w:style>
  <w:style w:type="character" w:styleId="Refdecomentario">
    <w:name w:val="annotation reference"/>
    <w:basedOn w:val="Fuentedeprrafopredeter"/>
    <w:uiPriority w:val="99"/>
    <w:semiHidden/>
    <w:unhideWhenUsed/>
    <w:rsid w:val="00D36011"/>
    <w:rPr>
      <w:sz w:val="16"/>
      <w:szCs w:val="16"/>
    </w:rPr>
  </w:style>
  <w:style w:type="paragraph" w:styleId="Textocomentario">
    <w:name w:val="annotation text"/>
    <w:basedOn w:val="Normal"/>
    <w:link w:val="TextocomentarioCar"/>
    <w:uiPriority w:val="99"/>
    <w:unhideWhenUsed/>
    <w:rsid w:val="00D36011"/>
    <w:pPr>
      <w:spacing w:line="240" w:lineRule="auto"/>
    </w:pPr>
    <w:rPr>
      <w:sz w:val="20"/>
      <w:szCs w:val="20"/>
    </w:rPr>
  </w:style>
  <w:style w:type="character" w:customStyle="1" w:styleId="TextocomentarioCar">
    <w:name w:val="Texto comentario Car"/>
    <w:basedOn w:val="Fuentedeprrafopredeter"/>
    <w:link w:val="Textocomentario"/>
    <w:uiPriority w:val="99"/>
    <w:rsid w:val="00D36011"/>
    <w:rPr>
      <w:sz w:val="20"/>
      <w:szCs w:val="20"/>
    </w:rPr>
  </w:style>
  <w:style w:type="paragraph" w:styleId="Asuntodelcomentario">
    <w:name w:val="annotation subject"/>
    <w:basedOn w:val="Textocomentario"/>
    <w:next w:val="Textocomentario"/>
    <w:link w:val="AsuntodelcomentarioCar"/>
    <w:uiPriority w:val="99"/>
    <w:semiHidden/>
    <w:unhideWhenUsed/>
    <w:rsid w:val="00D36011"/>
    <w:rPr>
      <w:b/>
      <w:bCs/>
    </w:rPr>
  </w:style>
  <w:style w:type="character" w:customStyle="1" w:styleId="AsuntodelcomentarioCar">
    <w:name w:val="Asunto del comentario Car"/>
    <w:basedOn w:val="TextocomentarioCar"/>
    <w:link w:val="Asuntodelcomentario"/>
    <w:uiPriority w:val="99"/>
    <w:semiHidden/>
    <w:rsid w:val="00D360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3366">
      <w:bodyDiv w:val="1"/>
      <w:marLeft w:val="0"/>
      <w:marRight w:val="0"/>
      <w:marTop w:val="0"/>
      <w:marBottom w:val="0"/>
      <w:divBdr>
        <w:top w:val="none" w:sz="0" w:space="0" w:color="auto"/>
        <w:left w:val="none" w:sz="0" w:space="0" w:color="auto"/>
        <w:bottom w:val="none" w:sz="0" w:space="0" w:color="auto"/>
        <w:right w:val="none" w:sz="0" w:space="0" w:color="auto"/>
      </w:divBdr>
    </w:div>
    <w:div w:id="618295734">
      <w:bodyDiv w:val="1"/>
      <w:marLeft w:val="0"/>
      <w:marRight w:val="0"/>
      <w:marTop w:val="0"/>
      <w:marBottom w:val="0"/>
      <w:divBdr>
        <w:top w:val="none" w:sz="0" w:space="0" w:color="auto"/>
        <w:left w:val="none" w:sz="0" w:space="0" w:color="auto"/>
        <w:bottom w:val="none" w:sz="0" w:space="0" w:color="auto"/>
        <w:right w:val="none" w:sz="0" w:space="0" w:color="auto"/>
      </w:divBdr>
    </w:div>
    <w:div w:id="875897672">
      <w:bodyDiv w:val="1"/>
      <w:marLeft w:val="0"/>
      <w:marRight w:val="0"/>
      <w:marTop w:val="0"/>
      <w:marBottom w:val="0"/>
      <w:divBdr>
        <w:top w:val="none" w:sz="0" w:space="0" w:color="auto"/>
        <w:left w:val="none" w:sz="0" w:space="0" w:color="auto"/>
        <w:bottom w:val="none" w:sz="0" w:space="0" w:color="auto"/>
        <w:right w:val="none" w:sz="0" w:space="0" w:color="auto"/>
      </w:divBdr>
    </w:div>
    <w:div w:id="17712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64174-D27D-4CC8-AAAF-C4D2A1E1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9</Pages>
  <Words>2668</Words>
  <Characters>14676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Luis Alfonso Campos Guzman</cp:lastModifiedBy>
  <cp:revision>70</cp:revision>
  <cp:lastPrinted>2023-01-30T15:06:00Z</cp:lastPrinted>
  <dcterms:created xsi:type="dcterms:W3CDTF">2022-02-02T17:08:00Z</dcterms:created>
  <dcterms:modified xsi:type="dcterms:W3CDTF">2023-02-02T15:51:00Z</dcterms:modified>
</cp:coreProperties>
</file>