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4"/>
        <w:gridCol w:w="5238"/>
        <w:gridCol w:w="1415"/>
        <w:gridCol w:w="1461"/>
      </w:tblGrid>
      <w:tr w:rsidR="003E4F4E" w:rsidRPr="003E4F4E" w14:paraId="1E51DD43" w14:textId="77777777" w:rsidTr="003E4F4E">
        <w:trPr>
          <w:trHeight w:val="850"/>
          <w:tblHeader/>
        </w:trPr>
        <w:tc>
          <w:tcPr>
            <w:tcW w:w="8818" w:type="dxa"/>
            <w:gridSpan w:val="4"/>
            <w:tcBorders>
              <w:top w:val="single" w:sz="8" w:space="0" w:color="7030A0"/>
              <w:left w:val="single" w:sz="8" w:space="0" w:color="7030A0"/>
              <w:bottom w:val="single" w:sz="8" w:space="0" w:color="7030A0"/>
              <w:right w:val="single" w:sz="8" w:space="0" w:color="7030A0"/>
            </w:tcBorders>
            <w:shd w:val="clear" w:color="auto" w:fill="19D3C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3A90C4" w14:textId="58938CCF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b/>
                <w:bCs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 </w:t>
            </w:r>
            <w:r w:rsidRPr="003E4F4E">
              <w:rPr>
                <w:rFonts w:ascii="Lucida Sans Unicode" w:eastAsia="Times New Roman" w:hAnsi="Lucida Sans Unicode" w:cs="Lucida Sans Unicode"/>
                <w:b/>
                <w:bCs/>
                <w:color w:val="FFFFFF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Comisión de Seguimiento al Servicio Profesional Electoral Nacional</w:t>
            </w:r>
          </w:p>
          <w:p w14:paraId="7ED07628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b/>
                <w:bCs/>
                <w:color w:val="FFFFFF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Programa de Trabajo 2023-2024</w:t>
            </w:r>
          </w:p>
        </w:tc>
      </w:tr>
      <w:tr w:rsidR="003E4F4E" w:rsidRPr="003E4F4E" w14:paraId="1B77AC40" w14:textId="77777777" w:rsidTr="003E4F4E">
        <w:trPr>
          <w:tblHeader/>
        </w:trPr>
        <w:tc>
          <w:tcPr>
            <w:tcW w:w="704" w:type="dxa"/>
            <w:vMerge w:val="restart"/>
            <w:tcBorders>
              <w:top w:val="nil"/>
              <w:left w:val="single" w:sz="8" w:space="0" w:color="7030A0"/>
              <w:bottom w:val="single" w:sz="8" w:space="0" w:color="7030A0"/>
              <w:right w:val="single" w:sz="8" w:space="0" w:color="7030A0"/>
            </w:tcBorders>
            <w:shd w:val="clear" w:color="auto" w:fill="64AFBD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A20937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FFFFFF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No.</w:t>
            </w:r>
          </w:p>
        </w:tc>
        <w:tc>
          <w:tcPr>
            <w:tcW w:w="5238" w:type="dxa"/>
            <w:vMerge w:val="restart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64AFBD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484D75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FFFFFF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Actividad</w:t>
            </w:r>
          </w:p>
        </w:tc>
        <w:tc>
          <w:tcPr>
            <w:tcW w:w="2876" w:type="dxa"/>
            <w:gridSpan w:val="2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64AFBD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D0707A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FFFFFF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Periodo de Ejecución Estimado</w:t>
            </w:r>
          </w:p>
        </w:tc>
      </w:tr>
      <w:tr w:rsidR="003E4F4E" w:rsidRPr="003E4F4E" w14:paraId="7063220B" w14:textId="77777777" w:rsidTr="003E4F4E">
        <w:trPr>
          <w:tblHeader/>
        </w:trPr>
        <w:tc>
          <w:tcPr>
            <w:tcW w:w="0" w:type="auto"/>
            <w:vMerge/>
            <w:tcBorders>
              <w:top w:val="nil"/>
              <w:left w:val="single" w:sz="8" w:space="0" w:color="7030A0"/>
              <w:bottom w:val="single" w:sz="8" w:space="0" w:color="7030A0"/>
              <w:right w:val="single" w:sz="8" w:space="0" w:color="7030A0"/>
            </w:tcBorders>
            <w:shd w:val="clear" w:color="auto" w:fill="FFFFFF"/>
            <w:vAlign w:val="center"/>
            <w:hideMark/>
          </w:tcPr>
          <w:p w14:paraId="5917C201" w14:textId="77777777" w:rsidR="003E4F4E" w:rsidRPr="003E4F4E" w:rsidRDefault="003E4F4E" w:rsidP="003E4F4E">
            <w:pPr>
              <w:spacing w:after="0" w:line="240" w:lineRule="auto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vAlign w:val="center"/>
            <w:hideMark/>
          </w:tcPr>
          <w:p w14:paraId="7F7A8763" w14:textId="77777777" w:rsidR="003E4F4E" w:rsidRPr="003E4F4E" w:rsidRDefault="003E4F4E" w:rsidP="003E4F4E">
            <w:pPr>
              <w:spacing w:after="0" w:line="240" w:lineRule="auto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64AFBD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A8D7CE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FFFFFF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Inicio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64AFBD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6BB09B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FFFFFF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Término</w:t>
            </w:r>
          </w:p>
        </w:tc>
      </w:tr>
      <w:tr w:rsidR="003E4F4E" w:rsidRPr="003E4F4E" w14:paraId="72954C0E" w14:textId="77777777" w:rsidTr="003E4F4E">
        <w:tc>
          <w:tcPr>
            <w:tcW w:w="704" w:type="dxa"/>
            <w:tcBorders>
              <w:top w:val="nil"/>
              <w:left w:val="single" w:sz="8" w:space="0" w:color="7030A0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1DE3E1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1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BBE728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Presentar el Programa de Trabajo para la gestión de los asuntos de la Comisión de Seguimiento.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9FE11E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Nov-23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8C11D8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Nov-23</w:t>
            </w:r>
          </w:p>
        </w:tc>
      </w:tr>
      <w:tr w:rsidR="003E4F4E" w:rsidRPr="003E4F4E" w14:paraId="30C15D1B" w14:textId="77777777" w:rsidTr="003E4F4E">
        <w:trPr>
          <w:trHeight w:val="4579"/>
        </w:trPr>
        <w:tc>
          <w:tcPr>
            <w:tcW w:w="704" w:type="dxa"/>
            <w:tcBorders>
              <w:top w:val="nil"/>
              <w:left w:val="single" w:sz="8" w:space="0" w:color="7030A0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93A4F4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2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2C05D3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Dar seguimiento al Programa de Mediano Plazo en los temas siguientes:</w:t>
            </w:r>
          </w:p>
          <w:p w14:paraId="26E839AF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 </w:t>
            </w:r>
          </w:p>
          <w:p w14:paraId="35F9B3BC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a) De la permanencia.</w:t>
            </w:r>
          </w:p>
          <w:p w14:paraId="4770FFE0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b) De la ocupación de plazas.</w:t>
            </w:r>
          </w:p>
          <w:p w14:paraId="55150047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c) De la rotación.</w:t>
            </w:r>
          </w:p>
          <w:p w14:paraId="21B87DB6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d) De la inducción al cargo o puesto.</w:t>
            </w:r>
          </w:p>
          <w:p w14:paraId="3DBB6165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d) De la profesionalización.</w:t>
            </w:r>
          </w:p>
          <w:p w14:paraId="589434F5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e) De la capacitación, actividades externas y disponibilidad.</w:t>
            </w:r>
          </w:p>
          <w:p w14:paraId="48C08FF7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f) De la evaluación del desempeño.</w:t>
            </w:r>
          </w:p>
          <w:p w14:paraId="1E5FE554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g) De la titularidad, promoción, incentivos y del procedimiento laboral disciplinario; y</w:t>
            </w:r>
          </w:p>
          <w:p w14:paraId="5FED7EE3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h) Las demás disposiciones, lineamientos y acuerdos relativos al servicio profesional.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29AD39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Nov-23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E7269F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proofErr w:type="spellStart"/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Sep</w:t>
            </w:r>
            <w:proofErr w:type="spellEnd"/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 xml:space="preserve"> 24</w:t>
            </w:r>
          </w:p>
        </w:tc>
      </w:tr>
      <w:tr w:rsidR="003E4F4E" w:rsidRPr="003E4F4E" w14:paraId="19581BA8" w14:textId="77777777" w:rsidTr="003E4F4E">
        <w:tc>
          <w:tcPr>
            <w:tcW w:w="704" w:type="dxa"/>
            <w:tcBorders>
              <w:top w:val="nil"/>
              <w:left w:val="single" w:sz="8" w:space="0" w:color="7030A0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1DA942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3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F2F149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 xml:space="preserve">Renovación de </w:t>
            </w:r>
            <w:proofErr w:type="spellStart"/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Encargadurías</w:t>
            </w:r>
            <w:proofErr w:type="spellEnd"/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 xml:space="preserve"> de Despacho de plazas vacantes en el SPEN.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1F7315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Nov-23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8EC63E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May-24</w:t>
            </w:r>
          </w:p>
        </w:tc>
      </w:tr>
      <w:tr w:rsidR="003E4F4E" w:rsidRPr="003E4F4E" w14:paraId="31C080DF" w14:textId="77777777" w:rsidTr="003E4F4E">
        <w:tc>
          <w:tcPr>
            <w:tcW w:w="704" w:type="dxa"/>
            <w:tcBorders>
              <w:top w:val="nil"/>
              <w:left w:val="single" w:sz="8" w:space="0" w:color="7030A0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29BB7E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4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0ACB35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Ocupación de plaza(s) del SPEN por lista de reserva.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228274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Nov-23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F35995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Dic-23</w:t>
            </w:r>
          </w:p>
        </w:tc>
      </w:tr>
      <w:tr w:rsidR="003E4F4E" w:rsidRPr="003E4F4E" w14:paraId="5E24034B" w14:textId="77777777" w:rsidTr="003E4F4E">
        <w:trPr>
          <w:trHeight w:val="703"/>
        </w:trPr>
        <w:tc>
          <w:tcPr>
            <w:tcW w:w="704" w:type="dxa"/>
            <w:tcBorders>
              <w:top w:val="nil"/>
              <w:left w:val="single" w:sz="8" w:space="0" w:color="7030A0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1CB963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5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00E4A8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Otorgamiento de Titularidad y de Promoción en Rango para 4 integrantes del Servicio.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50C4C4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Dic-23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9974D6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Feb-24</w:t>
            </w:r>
          </w:p>
        </w:tc>
      </w:tr>
      <w:tr w:rsidR="003E4F4E" w:rsidRPr="003E4F4E" w14:paraId="0AF2F14B" w14:textId="77777777" w:rsidTr="003E4F4E">
        <w:trPr>
          <w:trHeight w:val="703"/>
        </w:trPr>
        <w:tc>
          <w:tcPr>
            <w:tcW w:w="704" w:type="dxa"/>
            <w:tcBorders>
              <w:top w:val="nil"/>
              <w:left w:val="single" w:sz="8" w:space="0" w:color="7030A0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9F2E03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6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B4F3CB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Aprobación del Dictamen General de Resultados de la Evaluación del Desempeño 2022-2023.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F99043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Mar-24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2001D3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Abr-24</w:t>
            </w:r>
          </w:p>
        </w:tc>
      </w:tr>
      <w:tr w:rsidR="003E4F4E" w:rsidRPr="003E4F4E" w14:paraId="680CC7AE" w14:textId="77777777" w:rsidTr="003E4F4E">
        <w:trPr>
          <w:trHeight w:val="703"/>
        </w:trPr>
        <w:tc>
          <w:tcPr>
            <w:tcW w:w="704" w:type="dxa"/>
            <w:tcBorders>
              <w:top w:val="nil"/>
              <w:left w:val="single" w:sz="8" w:space="0" w:color="7030A0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1F849E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7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2F67FB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Presentación y, en su caso, aprobación del Proyecto de Acuerdo del Consejo General para la designación de personas ganadoras de incentivos por rendimiento.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B4E612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Abr-24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EB0ADF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Jun-24</w:t>
            </w:r>
          </w:p>
        </w:tc>
      </w:tr>
      <w:tr w:rsidR="003E4F4E" w:rsidRPr="003E4F4E" w14:paraId="46D50BBF" w14:textId="77777777" w:rsidTr="003E4F4E">
        <w:tc>
          <w:tcPr>
            <w:tcW w:w="704" w:type="dxa"/>
            <w:tcBorders>
              <w:top w:val="nil"/>
              <w:left w:val="single" w:sz="8" w:space="0" w:color="7030A0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5540AB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8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9EAD85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Autorización del envío a la DESPEN del Informe de actividades sobre el otorgamiento de incentivos.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73B983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Jun-24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A0832C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Jul-24</w:t>
            </w:r>
          </w:p>
        </w:tc>
      </w:tr>
      <w:tr w:rsidR="003E4F4E" w:rsidRPr="003E4F4E" w14:paraId="7D0E45B1" w14:textId="77777777" w:rsidTr="003E4F4E">
        <w:tc>
          <w:tcPr>
            <w:tcW w:w="704" w:type="dxa"/>
            <w:tcBorders>
              <w:top w:val="nil"/>
              <w:left w:val="single" w:sz="8" w:space="0" w:color="7030A0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307347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9</w:t>
            </w:r>
          </w:p>
        </w:tc>
        <w:tc>
          <w:tcPr>
            <w:tcW w:w="5238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C36347" w14:textId="77777777" w:rsidR="003E4F4E" w:rsidRPr="003E4F4E" w:rsidRDefault="003E4F4E" w:rsidP="003E4F4E">
            <w:pPr>
              <w:spacing w:after="0" w:line="253" w:lineRule="atLeast"/>
              <w:jc w:val="both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Presentación, para su aprobación, al Consejo General, del informe anual de actividades en el que se precisen las tareas desarrolladas.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C477A1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proofErr w:type="spellStart"/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Sep</w:t>
            </w:r>
            <w:proofErr w:type="spellEnd"/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 xml:space="preserve"> 24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7030A0"/>
              <w:right w:val="single" w:sz="8" w:space="0" w:color="7030A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2E3759" w14:textId="77777777" w:rsidR="003E4F4E" w:rsidRPr="003E4F4E" w:rsidRDefault="003E4F4E" w:rsidP="003E4F4E">
            <w:pPr>
              <w:spacing w:after="0" w:line="253" w:lineRule="atLeast"/>
              <w:jc w:val="center"/>
              <w:rPr>
                <w:rFonts w:ascii="Calibri" w:eastAsia="Times New Roman" w:hAnsi="Calibri" w:cs="Calibri"/>
                <w:color w:val="242424"/>
                <w:kern w:val="0"/>
                <w:lang w:eastAsia="es-MX"/>
                <w14:ligatures w14:val="none"/>
              </w:rPr>
            </w:pPr>
            <w:proofErr w:type="spellStart"/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>Sep</w:t>
            </w:r>
            <w:proofErr w:type="spellEnd"/>
            <w:r w:rsidRPr="003E4F4E">
              <w:rPr>
                <w:rFonts w:ascii="Lucida Sans Unicode" w:eastAsia="Times New Roman" w:hAnsi="Lucida Sans Unicode" w:cs="Lucida Sans Unicode"/>
                <w:color w:val="09090A"/>
                <w:kern w:val="0"/>
                <w:sz w:val="20"/>
                <w:szCs w:val="20"/>
                <w:bdr w:val="none" w:sz="0" w:space="0" w:color="auto" w:frame="1"/>
                <w:lang w:eastAsia="es-MX"/>
                <w14:ligatures w14:val="none"/>
              </w:rPr>
              <w:t xml:space="preserve"> 24</w:t>
            </w:r>
          </w:p>
        </w:tc>
      </w:tr>
    </w:tbl>
    <w:p w14:paraId="7141F3E6" w14:textId="38B6E6F7" w:rsidR="00366D7D" w:rsidRDefault="003E4F4E" w:rsidP="003E4F4E">
      <w:pPr>
        <w:shd w:val="clear" w:color="auto" w:fill="FFFFFF"/>
        <w:spacing w:after="0" w:line="240" w:lineRule="auto"/>
        <w:jc w:val="both"/>
      </w:pPr>
      <w:r w:rsidRPr="003E4F4E">
        <w:rPr>
          <w:rFonts w:ascii="Lucida Sans Unicode" w:eastAsia="Times New Roman" w:hAnsi="Lucida Sans Unicode" w:cs="Lucida Sans Unicode"/>
          <w:color w:val="09090A"/>
          <w:kern w:val="0"/>
          <w:sz w:val="20"/>
          <w:szCs w:val="20"/>
          <w:bdr w:val="none" w:sz="0" w:space="0" w:color="auto" w:frame="1"/>
          <w:lang w:val="es-ES" w:eastAsia="es-MX"/>
          <w14:ligatures w14:val="none"/>
        </w:rPr>
        <w:t> </w:t>
      </w:r>
    </w:p>
    <w:sectPr w:rsidR="00366D7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3F07C3" w14:textId="77777777" w:rsidR="008B7AE1" w:rsidRDefault="008B7AE1" w:rsidP="008B7AE1">
      <w:pPr>
        <w:spacing w:after="0" w:line="240" w:lineRule="auto"/>
      </w:pPr>
      <w:r>
        <w:separator/>
      </w:r>
    </w:p>
  </w:endnote>
  <w:endnote w:type="continuationSeparator" w:id="0">
    <w:p w14:paraId="78B2834C" w14:textId="77777777" w:rsidR="008B7AE1" w:rsidRDefault="008B7AE1" w:rsidP="008B7A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4C6DC" w14:textId="77777777" w:rsidR="008B7AE1" w:rsidRDefault="008B7AE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FB2814" w14:textId="77777777" w:rsidR="008B7AE1" w:rsidRDefault="008B7AE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406A58" w14:textId="77777777" w:rsidR="008B7AE1" w:rsidRDefault="008B7AE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E26597" w14:textId="77777777" w:rsidR="008B7AE1" w:rsidRDefault="008B7AE1" w:rsidP="008B7AE1">
      <w:pPr>
        <w:spacing w:after="0" w:line="240" w:lineRule="auto"/>
      </w:pPr>
      <w:r>
        <w:separator/>
      </w:r>
    </w:p>
  </w:footnote>
  <w:footnote w:type="continuationSeparator" w:id="0">
    <w:p w14:paraId="5C895284" w14:textId="77777777" w:rsidR="008B7AE1" w:rsidRDefault="008B7AE1" w:rsidP="008B7A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32D66B" w14:textId="325ACF80" w:rsidR="008B7AE1" w:rsidRDefault="008B7AE1">
    <w:pPr>
      <w:pStyle w:val="Encabezado"/>
    </w:pPr>
    <w:r>
      <w:rPr>
        <w:noProof/>
      </w:rPr>
      <w:pict w14:anchorId="568B201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63113876" o:spid="_x0000_s2050" type="#_x0000_t136" style="position:absolute;margin-left:0;margin-top:0;width:479.25pt;height:143.75pt;rotation:315;z-index:-251655168;mso-position-horizontal:center;mso-position-horizontal-relative:margin;mso-position-vertical:center;mso-position-vertical-relative:margin" o:allowincell="f" fillcolor="#e7e6e6 [3214]" stroked="f">
          <v:fill opacity=".5"/>
          <v:textpath style="font-family:&quot;Lucida Sans Unicode&quot;;font-size:1pt" string="PROYECTO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339418" w14:textId="08906F03" w:rsidR="008B7AE1" w:rsidRDefault="008B7AE1">
    <w:pPr>
      <w:pStyle w:val="Encabezado"/>
    </w:pPr>
    <w:r>
      <w:rPr>
        <w:noProof/>
      </w:rPr>
      <w:pict w14:anchorId="08E9B34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63113877" o:spid="_x0000_s2051" type="#_x0000_t136" style="position:absolute;margin-left:0;margin-top:0;width:479.25pt;height:143.75pt;rotation:315;z-index:-251653120;mso-position-horizontal:center;mso-position-horizontal-relative:margin;mso-position-vertical:center;mso-position-vertical-relative:margin" o:allowincell="f" fillcolor="#e7e6e6 [3214]" stroked="f">
          <v:fill opacity=".5"/>
          <v:textpath style="font-family:&quot;Lucida Sans Unicode&quot;;font-size:1pt" string="PROYECTO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07AEE" w14:textId="3F5DF93D" w:rsidR="008B7AE1" w:rsidRDefault="008B7AE1">
    <w:pPr>
      <w:pStyle w:val="Encabezado"/>
    </w:pPr>
    <w:r>
      <w:rPr>
        <w:noProof/>
      </w:rPr>
      <w:pict w14:anchorId="6BE4B0C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63113875" o:spid="_x0000_s2049" type="#_x0000_t136" style="position:absolute;margin-left:0;margin-top:0;width:479.25pt;height:143.75pt;rotation:315;z-index:-251657216;mso-position-horizontal:center;mso-position-horizontal-relative:margin;mso-position-vertical:center;mso-position-vertical-relative:margin" o:allowincell="f" fillcolor="#e7e6e6 [3214]" stroked="f">
          <v:fill opacity=".5"/>
          <v:textpath style="font-family:&quot;Lucida Sans Unicode&quot;;font-size:1pt" string="PROYECTO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D7D"/>
    <w:rsid w:val="00366D7D"/>
    <w:rsid w:val="003E4F4E"/>
    <w:rsid w:val="008B7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5:chartTrackingRefBased/>
  <w15:docId w15:val="{6B8FA4F7-5C15-4570-9591-10406790A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B7A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B7AE1"/>
  </w:style>
  <w:style w:type="paragraph" w:styleId="Piedepgina">
    <w:name w:val="footer"/>
    <w:basedOn w:val="Normal"/>
    <w:link w:val="PiedepginaCar"/>
    <w:uiPriority w:val="99"/>
    <w:unhideWhenUsed/>
    <w:rsid w:val="008B7AE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B7A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2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243</Words>
  <Characters>1339</Characters>
  <Application>Microsoft Office Word</Application>
  <DocSecurity>0</DocSecurity>
  <Lines>11</Lines>
  <Paragraphs>3</Paragraphs>
  <ScaleCrop>false</ScaleCrop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Alfonso Campos Guzman</dc:creator>
  <cp:keywords/>
  <dc:description/>
  <cp:lastModifiedBy>Luz Esperanza Contreras Zambrano</cp:lastModifiedBy>
  <cp:revision>4</cp:revision>
  <dcterms:created xsi:type="dcterms:W3CDTF">2023-12-04T14:22:00Z</dcterms:created>
  <dcterms:modified xsi:type="dcterms:W3CDTF">2023-12-04T15:37:00Z</dcterms:modified>
</cp:coreProperties>
</file>