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1F1604E5"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A42F0D">
        <w:rPr>
          <w:rFonts w:ascii="Lucida Sans Unicode" w:hAnsi="Lucida Sans Unicode" w:cs="Lucida Sans Unicode"/>
          <w:b/>
          <w:bCs/>
          <w:sz w:val="20"/>
          <w:szCs w:val="20"/>
        </w:rPr>
        <w:t>APRUEBA</w:t>
      </w:r>
      <w:r w:rsidR="0040472F">
        <w:rPr>
          <w:rFonts w:ascii="Lucida Sans Unicode" w:hAnsi="Lucida Sans Unicode" w:cs="Lucida Sans Unicode"/>
          <w:b/>
          <w:bCs/>
          <w:sz w:val="20"/>
          <w:szCs w:val="20"/>
        </w:rPr>
        <w:t xml:space="preserve"> </w:t>
      </w:r>
      <w:r w:rsidR="00B82DA7">
        <w:rPr>
          <w:rFonts w:ascii="Lucida Sans Unicode" w:hAnsi="Lucida Sans Unicode" w:cs="Lucida Sans Unicode"/>
          <w:b/>
          <w:bCs/>
          <w:sz w:val="20"/>
          <w:szCs w:val="20"/>
        </w:rPr>
        <w:t>EL</w:t>
      </w:r>
      <w:r w:rsidR="0040472F">
        <w:rPr>
          <w:rFonts w:ascii="Lucida Sans Unicode" w:hAnsi="Lucida Sans Unicode" w:cs="Lucida Sans Unicode"/>
          <w:b/>
          <w:bCs/>
          <w:sz w:val="20"/>
          <w:szCs w:val="20"/>
        </w:rPr>
        <w:t xml:space="preserve"> </w:t>
      </w:r>
      <w:r w:rsidR="00CB02E5">
        <w:rPr>
          <w:rFonts w:ascii="Lucida Sans Unicode" w:hAnsi="Lucida Sans Unicode" w:cs="Lucida Sans Unicode"/>
          <w:b/>
          <w:bCs/>
          <w:sz w:val="20"/>
          <w:szCs w:val="20"/>
        </w:rPr>
        <w:t xml:space="preserve">CAMBIO DE SEDE DEL CONSEJO MUNICIPAL </w:t>
      </w:r>
      <w:r w:rsidR="00354D16">
        <w:rPr>
          <w:rFonts w:ascii="Lucida Sans Unicode" w:hAnsi="Lucida Sans Unicode" w:cs="Lucida Sans Unicode"/>
          <w:b/>
          <w:bCs/>
          <w:sz w:val="20"/>
          <w:szCs w:val="20"/>
        </w:rPr>
        <w:t xml:space="preserve">ELECTORAL </w:t>
      </w:r>
      <w:r w:rsidR="00CB02E5">
        <w:rPr>
          <w:rFonts w:ascii="Lucida Sans Unicode" w:hAnsi="Lucida Sans Unicode" w:cs="Lucida Sans Unicode"/>
          <w:b/>
          <w:bCs/>
          <w:sz w:val="20"/>
          <w:szCs w:val="20"/>
        </w:rPr>
        <w:t xml:space="preserve">DE OJUELOS DE JALISCO, AL CONSEJO </w:t>
      </w:r>
      <w:r w:rsidR="00354D16">
        <w:rPr>
          <w:rFonts w:ascii="Lucida Sans Unicode" w:hAnsi="Lucida Sans Unicode" w:cs="Lucida Sans Unicode"/>
          <w:b/>
          <w:bCs/>
          <w:sz w:val="20"/>
          <w:szCs w:val="20"/>
        </w:rPr>
        <w:t>MUNICIPAL ELECTORAL DE</w:t>
      </w:r>
      <w:r w:rsidR="00CB02E5">
        <w:rPr>
          <w:rFonts w:ascii="Lucida Sans Unicode" w:hAnsi="Lucida Sans Unicode" w:cs="Lucida Sans Unicode"/>
          <w:b/>
          <w:bCs/>
          <w:sz w:val="20"/>
          <w:szCs w:val="20"/>
        </w:rPr>
        <w:t xml:space="preserve"> LAGOS DE MORENO, JALISCO, PARA SEGUIR CON LOS TRABAJOS DE CÓMPUTO</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w:t>
      </w:r>
      <w:r>
        <w:rPr>
          <w:rFonts w:ascii="Lucida Sans Unicode" w:hAnsi="Lucida Sans Unicode" w:cs="Lucida Sans Unicode"/>
          <w:sz w:val="20"/>
          <w:szCs w:val="20"/>
        </w:rPr>
        <w:lastRenderedPageBreak/>
        <w:t xml:space="preserve">Censo de Población 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41D3DAEB" w14:textId="779C2AD4" w:rsidR="009452BA" w:rsidRDefault="006228FF"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7</w:t>
      </w:r>
      <w:r w:rsidR="009452BA">
        <w:rPr>
          <w:rFonts w:ascii="Lucida Sans Unicode" w:eastAsia="Trebuchet MS" w:hAnsi="Lucida Sans Unicode" w:cs="Lucida Sans Unicode"/>
          <w:b/>
          <w:color w:val="000000"/>
          <w:sz w:val="20"/>
        </w:rPr>
        <w:t xml:space="preserve">. LINEAMIENTO PARA EL REGISTRO DE CANDIDATURAS Y CRITERIOS DE REELECCIÓN EN LA POSTULACIÓN DE CANDIDATURAS A CARGOS DE ELECCIÓN POPULAR PARA EL PROCESO ELECTORAL LOCAL CONCURRENTE 2023-2024. </w:t>
      </w:r>
      <w:r w:rsidR="009452BA">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sidR="009452BA">
        <w:rPr>
          <w:rStyle w:val="Refdenotaalpie"/>
          <w:rFonts w:ascii="Lucida Sans Unicode" w:eastAsia="Trebuchet MS" w:hAnsi="Lucida Sans Unicode" w:cs="Lucida Sans Unicode"/>
          <w:color w:val="000000"/>
        </w:rPr>
        <w:footnoteReference w:id="10"/>
      </w:r>
      <w:r w:rsidR="009452BA">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9416C29" w:rsidR="009452BA" w:rsidRDefault="006228FF"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8</w:t>
      </w:r>
      <w:r w:rsidR="009452BA">
        <w:rPr>
          <w:rFonts w:ascii="Lucida Sans Unicode" w:hAnsi="Lucida Sans Unicode" w:cs="Lucida Sans Unicode"/>
          <w:b/>
          <w:sz w:val="20"/>
          <w:szCs w:val="20"/>
          <w:lang w:val="es-MX" w:eastAsia="es-ES"/>
        </w:rPr>
        <w:t>. A</w:t>
      </w:r>
      <w:r w:rsidR="00844658">
        <w:rPr>
          <w:rFonts w:ascii="Lucida Sans Unicode" w:hAnsi="Lucida Sans Unicode" w:cs="Lucida Sans Unicode"/>
          <w:b/>
          <w:sz w:val="20"/>
          <w:szCs w:val="20"/>
          <w:lang w:val="es-MX" w:eastAsia="es-ES"/>
        </w:rPr>
        <w:t>PR</w:t>
      </w:r>
      <w:r w:rsidR="009452BA">
        <w:rPr>
          <w:rFonts w:ascii="Lucida Sans Unicode" w:hAnsi="Lucida Sans Unicode" w:cs="Lucida Sans Unicode"/>
          <w:b/>
          <w:sz w:val="20"/>
          <w:szCs w:val="20"/>
          <w:lang w:val="es-MX" w:eastAsia="es-ES"/>
        </w:rPr>
        <w:t xml:space="preserve">OBACIÓN DE LOS </w:t>
      </w:r>
      <w:r w:rsidR="009452BA" w:rsidRPr="007A056A">
        <w:rPr>
          <w:rFonts w:ascii="Lucida Sans Unicode" w:hAnsi="Lucida Sans Unicode" w:cs="Lucida Sans Unicode"/>
          <w:b/>
          <w:sz w:val="20"/>
          <w:szCs w:val="20"/>
          <w:lang w:val="es-MX" w:eastAsia="es-ES"/>
        </w:rPr>
        <w:t>LINEAMIENTOS QUE REGULAN EL DESARROLLO DE LAS SESIONES DE CÓMPUTOS DEL INSTITUTO ELECTORAL Y DE PARTICIPACIÓN CIUDADANA DEL ESTADO DE JALISCO, Y EL CUADERNILLO DE CONSULTA SOBRE VOTOS VÁLIDOS Y VOTOS NULOS PARA EL PROCESO ELECTORAL LOCAL CONCURRENTE 2023-2024.</w:t>
      </w:r>
      <w:r w:rsidR="009452BA">
        <w:rPr>
          <w:rFonts w:ascii="Lucida Sans Unicode" w:hAnsi="Lucida Sans Unicode" w:cs="Lucida Sans Unicode"/>
          <w:b/>
          <w:sz w:val="20"/>
          <w:szCs w:val="20"/>
          <w:lang w:val="es-MX" w:eastAsia="es-ES"/>
        </w:rPr>
        <w:t xml:space="preserve"> </w:t>
      </w:r>
      <w:r w:rsidR="009452BA">
        <w:rPr>
          <w:rFonts w:ascii="Lucida Sans Unicode" w:hAnsi="Lucida Sans Unicode" w:cs="Lucida Sans Unicode"/>
          <w:sz w:val="20"/>
          <w:szCs w:val="20"/>
        </w:rPr>
        <w:t>El veintidós de febrero en la décima sesión extraordinaria, mediante acuerdo identificado con la clave alfanumérica IEPC-ACG-023/2024</w:t>
      </w:r>
      <w:r w:rsidR="009452BA">
        <w:rPr>
          <w:rStyle w:val="Refdenotaalpie"/>
          <w:rFonts w:ascii="Lucida Sans Unicode" w:hAnsi="Lucida Sans Unicode" w:cs="Lucida Sans Unicode"/>
          <w:sz w:val="20"/>
          <w:szCs w:val="20"/>
        </w:rPr>
        <w:footnoteReference w:id="11"/>
      </w:r>
      <w:r w:rsidR="009452BA">
        <w:rPr>
          <w:rFonts w:ascii="Lucida Sans Unicode" w:hAnsi="Lucida Sans Unicode" w:cs="Lucida Sans Unicode"/>
          <w:sz w:val="20"/>
          <w:szCs w:val="20"/>
        </w:rPr>
        <w:t>, este Consejo General aprobó los “</w:t>
      </w:r>
      <w:r w:rsidR="009452BA" w:rsidRPr="00D71884">
        <w:rPr>
          <w:rFonts w:ascii="Lucida Sans Unicode" w:hAnsi="Lucida Sans Unicode" w:cs="Lucida Sans Unicode"/>
          <w:sz w:val="20"/>
          <w:szCs w:val="20"/>
        </w:rPr>
        <w:t xml:space="preserve">Lineamientos que regulan el desarrollo de las sesiones de cómputos del Instituto Electoral </w:t>
      </w:r>
      <w:r w:rsidR="048F5ED3" w:rsidRPr="00D71884">
        <w:rPr>
          <w:rFonts w:ascii="Lucida Sans Unicode" w:hAnsi="Lucida Sans Unicode" w:cs="Lucida Sans Unicode"/>
          <w:sz w:val="20"/>
          <w:szCs w:val="20"/>
        </w:rPr>
        <w:t>y</w:t>
      </w:r>
      <w:r w:rsidR="009452BA"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009452BA"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009452BA"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009452BA" w:rsidRPr="00D71884">
        <w:rPr>
          <w:rFonts w:ascii="Lucida Sans Unicode" w:hAnsi="Lucida Sans Unicode" w:cs="Lucida Sans Unicode"/>
          <w:sz w:val="20"/>
          <w:szCs w:val="20"/>
        </w:rPr>
        <w:t>e Jalisco, y el cuadernillo de consulta sobre votos válidos y votos nulos para el Proceso Electoral Local Concurrente 2023-2024”.</w:t>
      </w:r>
      <w:r w:rsidR="009452BA">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1A1422D9" w:rsidR="00B62FCF" w:rsidRDefault="006228FF"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Times New Roman" w:hAnsi="Lucida Sans Unicode" w:cs="Lucida Sans Unicode"/>
          <w:b/>
          <w:sz w:val="20"/>
          <w:szCs w:val="20"/>
          <w:lang w:val="es-ES" w:eastAsia="es-ES"/>
        </w:rPr>
        <w:t>9</w:t>
      </w:r>
      <w:r w:rsidR="009452BA">
        <w:rPr>
          <w:rFonts w:ascii="Lucida Sans Unicode" w:eastAsia="Times New Roman" w:hAnsi="Lucida Sans Unicode" w:cs="Lucida Sans Unicode"/>
          <w:b/>
          <w:sz w:val="20"/>
          <w:szCs w:val="20"/>
          <w:lang w:val="es-ES" w:eastAsia="es-ES"/>
        </w:rPr>
        <w:t xml:space="preserve">. </w:t>
      </w:r>
      <w:r w:rsidR="009452BA">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2"/>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w:t>
      </w:r>
      <w:r w:rsidR="003908DE">
        <w:rPr>
          <w:rFonts w:ascii="Lucida Sans Unicode" w:hAnsi="Lucida Sans Unicode" w:cs="Lucida Sans Unicode"/>
          <w:bCs/>
          <w:sz w:val="20"/>
          <w:szCs w:val="20"/>
          <w:lang w:val="es-ES"/>
        </w:rPr>
        <w:lastRenderedPageBreak/>
        <w:t xml:space="preserve">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12D748B2" w:rsidR="009452BA" w:rsidRDefault="006228FF"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10</w:t>
      </w:r>
      <w:r w:rsidR="009452BA">
        <w:rPr>
          <w:rFonts w:ascii="Lucida Sans Unicode" w:eastAsia="Calibri" w:hAnsi="Lucida Sans Unicode" w:cs="Lucida Sans Unicode"/>
          <w:b/>
          <w:bCs/>
          <w:color w:val="000000"/>
          <w:sz w:val="20"/>
          <w:szCs w:val="20"/>
        </w:rPr>
        <w:t xml:space="preserve">. DE LA RESOLUCIÓN DE LAS SOLICITUDES DE REGISTRO DE LA PLANILLAS DE CANDIDATURAS A MUNÍCIPES PRESENTADAS PARA EL PROCESO ELECTORAL LOCAL CONCURRENTE 2023-2024. </w:t>
      </w:r>
      <w:r w:rsidR="009452BA">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sidR="009452BA">
        <w:rPr>
          <w:rFonts w:ascii="Lucida Sans Unicode" w:eastAsia="Calibri" w:hAnsi="Lucida Sans Unicode" w:cs="Lucida Sans Unicode"/>
          <w:color w:val="000000"/>
          <w:sz w:val="20"/>
          <w:szCs w:val="20"/>
        </w:rPr>
        <w:t xml:space="preserve"> 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sidR="009452BA">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E96AB32" w:rsidR="009452BA" w:rsidRDefault="006228FF"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11</w:t>
      </w:r>
      <w:r w:rsidR="009452BA">
        <w:rPr>
          <w:rFonts w:ascii="Lucida Sans Unicode" w:hAnsi="Lucida Sans Unicode" w:cs="Lucida Sans Unicode"/>
          <w:b/>
          <w:bCs/>
          <w:sz w:val="20"/>
          <w:szCs w:val="20"/>
          <w:lang w:eastAsia="es-ES"/>
        </w:rPr>
        <w:t xml:space="preserve">. </w:t>
      </w:r>
      <w:r w:rsidR="009452BA">
        <w:rPr>
          <w:rFonts w:ascii="Lucida Sans Unicode" w:hAnsi="Lucida Sans Unicode" w:cs="Lucida Sans Unicode"/>
          <w:b/>
          <w:bCs/>
          <w:sz w:val="20"/>
          <w:szCs w:val="20"/>
        </w:rPr>
        <w:t>APROBACIÓN DE</w:t>
      </w:r>
      <w:r w:rsidR="009452BA"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sidR="009452BA">
        <w:rPr>
          <w:rFonts w:ascii="Lucida Sans Unicode" w:hAnsi="Lucida Sans Unicode" w:cs="Lucida Sans Unicode"/>
          <w:b/>
          <w:bCs/>
          <w:sz w:val="20"/>
          <w:szCs w:val="20"/>
          <w:lang w:val="es-ES"/>
        </w:rPr>
        <w:t xml:space="preserve">. </w:t>
      </w:r>
      <w:r w:rsidR="009452BA">
        <w:rPr>
          <w:rFonts w:ascii="Lucida Sans Unicode" w:hAnsi="Lucida Sans Unicode" w:cs="Lucida Sans Unicode"/>
          <w:sz w:val="20"/>
          <w:szCs w:val="20"/>
        </w:rPr>
        <w:t>El veinte de abril en la séptima sesión extraordinaria urgente, mediante acuerdo identificado con la clave alfanumérica IEPC-ACG-090/2024</w:t>
      </w:r>
      <w:r w:rsidR="009452BA">
        <w:rPr>
          <w:rStyle w:val="Refdenotaalpie"/>
          <w:rFonts w:ascii="Lucida Sans Unicode" w:hAnsi="Lucida Sans Unicode" w:cs="Lucida Sans Unicode"/>
          <w:sz w:val="20"/>
          <w:szCs w:val="20"/>
        </w:rPr>
        <w:footnoteReference w:id="13"/>
      </w:r>
      <w:r w:rsidR="009452BA">
        <w:rPr>
          <w:rFonts w:ascii="Lucida Sans Unicode" w:hAnsi="Lucida Sans Unicode" w:cs="Lucida Sans Unicode"/>
          <w:sz w:val="20"/>
          <w:szCs w:val="20"/>
        </w:rPr>
        <w:t xml:space="preserve">, este Consejo General aprobó </w:t>
      </w:r>
      <w:r w:rsidR="009452BA" w:rsidRPr="00910917">
        <w:rPr>
          <w:rFonts w:ascii="Lucida Sans Unicode" w:hAnsi="Lucida Sans Unicode" w:cs="Lucida Sans Unicode"/>
          <w:sz w:val="20"/>
          <w:szCs w:val="20"/>
        </w:rPr>
        <w:t xml:space="preserve">el procedimiento para incorporar los resultados del </w:t>
      </w:r>
      <w:r w:rsidR="009452BA">
        <w:rPr>
          <w:rFonts w:ascii="Lucida Sans Unicode" w:hAnsi="Lucida Sans Unicode" w:cs="Lucida Sans Unicode"/>
          <w:sz w:val="20"/>
          <w:szCs w:val="20"/>
        </w:rPr>
        <w:t>V</w:t>
      </w:r>
      <w:r w:rsidR="009452BA" w:rsidRPr="00910917">
        <w:rPr>
          <w:rFonts w:ascii="Lucida Sans Unicode" w:hAnsi="Lucida Sans Unicode" w:cs="Lucida Sans Unicode"/>
          <w:sz w:val="20"/>
          <w:szCs w:val="20"/>
        </w:rPr>
        <w:t xml:space="preserve">oto </w:t>
      </w:r>
      <w:r w:rsidR="009452BA">
        <w:rPr>
          <w:rFonts w:ascii="Lucida Sans Unicode" w:hAnsi="Lucida Sans Unicode" w:cs="Lucida Sans Unicode"/>
          <w:sz w:val="20"/>
          <w:szCs w:val="20"/>
        </w:rPr>
        <w:t>A</w:t>
      </w:r>
      <w:r w:rsidR="009452BA" w:rsidRPr="00910917">
        <w:rPr>
          <w:rFonts w:ascii="Lucida Sans Unicode" w:hAnsi="Lucida Sans Unicode" w:cs="Lucida Sans Unicode"/>
          <w:sz w:val="20"/>
          <w:szCs w:val="20"/>
        </w:rPr>
        <w:t xml:space="preserve">nticipado al Programa </w:t>
      </w:r>
      <w:r w:rsidR="009452BA">
        <w:rPr>
          <w:rFonts w:ascii="Lucida Sans Unicode" w:hAnsi="Lucida Sans Unicode" w:cs="Lucida Sans Unicode"/>
          <w:sz w:val="20"/>
          <w:szCs w:val="20"/>
        </w:rPr>
        <w:t>d</w:t>
      </w:r>
      <w:r w:rsidR="009452BA" w:rsidRPr="00910917">
        <w:rPr>
          <w:rFonts w:ascii="Lucida Sans Unicode" w:hAnsi="Lucida Sans Unicode" w:cs="Lucida Sans Unicode"/>
          <w:sz w:val="20"/>
          <w:szCs w:val="20"/>
        </w:rPr>
        <w:t>e Resultados Electorales Preliminares (</w:t>
      </w:r>
      <w:r w:rsidR="009452BA">
        <w:rPr>
          <w:rFonts w:ascii="Lucida Sans Unicode" w:hAnsi="Lucida Sans Unicode" w:cs="Lucida Sans Unicode"/>
          <w:sz w:val="20"/>
          <w:szCs w:val="20"/>
        </w:rPr>
        <w:t>PREP</w:t>
      </w:r>
      <w:r w:rsidR="009452BA" w:rsidRPr="00910917">
        <w:rPr>
          <w:rFonts w:ascii="Lucida Sans Unicode" w:hAnsi="Lucida Sans Unicode" w:cs="Lucida Sans Unicode"/>
          <w:sz w:val="20"/>
          <w:szCs w:val="20"/>
        </w:rPr>
        <w:t xml:space="preserve">), Sistema </w:t>
      </w:r>
      <w:r w:rsidR="009452BA">
        <w:rPr>
          <w:rFonts w:ascii="Lucida Sans Unicode" w:hAnsi="Lucida Sans Unicode" w:cs="Lucida Sans Unicode"/>
          <w:sz w:val="20"/>
          <w:szCs w:val="20"/>
        </w:rPr>
        <w:t>d</w:t>
      </w:r>
      <w:r w:rsidR="009452BA" w:rsidRPr="00910917">
        <w:rPr>
          <w:rFonts w:ascii="Lucida Sans Unicode" w:hAnsi="Lucida Sans Unicode" w:cs="Lucida Sans Unicode"/>
          <w:sz w:val="20"/>
          <w:szCs w:val="20"/>
        </w:rPr>
        <w:t xml:space="preserve">e Registro </w:t>
      </w:r>
      <w:r w:rsidR="009452BA">
        <w:rPr>
          <w:rFonts w:ascii="Lucida Sans Unicode" w:hAnsi="Lucida Sans Unicode" w:cs="Lucida Sans Unicode"/>
          <w:sz w:val="20"/>
          <w:szCs w:val="20"/>
        </w:rPr>
        <w:t>d</w:t>
      </w:r>
      <w:r w:rsidR="009452BA" w:rsidRPr="00910917">
        <w:rPr>
          <w:rFonts w:ascii="Lucida Sans Unicode" w:hAnsi="Lucida Sans Unicode" w:cs="Lucida Sans Unicode"/>
          <w:sz w:val="20"/>
          <w:szCs w:val="20"/>
        </w:rPr>
        <w:t>e Actas (</w:t>
      </w:r>
      <w:r w:rsidR="009452BA">
        <w:rPr>
          <w:rFonts w:ascii="Lucida Sans Unicode" w:hAnsi="Lucida Sans Unicode" w:cs="Lucida Sans Unicode"/>
          <w:sz w:val="20"/>
          <w:szCs w:val="20"/>
        </w:rPr>
        <w:t>SRA</w:t>
      </w:r>
      <w:r w:rsidR="009452BA"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sidR="009452BA">
        <w:rPr>
          <w:rFonts w:ascii="Lucida Sans Unicode" w:hAnsi="Lucida Sans Unicode" w:cs="Lucida Sans Unicode"/>
          <w:sz w:val="20"/>
          <w:szCs w:val="20"/>
        </w:rPr>
        <w:t>V</w:t>
      </w:r>
      <w:r w:rsidR="009452BA" w:rsidRPr="00910917">
        <w:rPr>
          <w:rFonts w:ascii="Lucida Sans Unicode" w:hAnsi="Lucida Sans Unicode" w:cs="Lucida Sans Unicode"/>
          <w:sz w:val="20"/>
          <w:szCs w:val="20"/>
        </w:rPr>
        <w:t xml:space="preserve">oto </w:t>
      </w:r>
      <w:r w:rsidR="009452BA">
        <w:rPr>
          <w:rFonts w:ascii="Lucida Sans Unicode" w:hAnsi="Lucida Sans Unicode" w:cs="Lucida Sans Unicode"/>
          <w:sz w:val="20"/>
          <w:szCs w:val="20"/>
        </w:rPr>
        <w:t>A</w:t>
      </w:r>
      <w:r w:rsidR="009452BA" w:rsidRPr="00910917">
        <w:rPr>
          <w:rFonts w:ascii="Lucida Sans Unicode" w:hAnsi="Lucida Sans Unicode" w:cs="Lucida Sans Unicode"/>
          <w:sz w:val="20"/>
          <w:szCs w:val="20"/>
        </w:rPr>
        <w:t xml:space="preserve">nticipado </w:t>
      </w:r>
      <w:r w:rsidR="009452BA">
        <w:rPr>
          <w:rFonts w:ascii="Lucida Sans Unicode" w:hAnsi="Lucida Sans Unicode" w:cs="Lucida Sans Unicode"/>
          <w:sz w:val="20"/>
          <w:szCs w:val="20"/>
        </w:rPr>
        <w:t xml:space="preserve">para el </w:t>
      </w:r>
      <w:r w:rsidR="009452BA">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2EFD513A"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1</w:t>
      </w:r>
      <w:r w:rsidR="006228FF">
        <w:rPr>
          <w:rFonts w:ascii="Lucida Sans Unicode" w:hAnsi="Lucida Sans Unicode" w:cs="Lucida Sans Unicode"/>
          <w:b/>
          <w:bCs/>
          <w:sz w:val="20"/>
          <w:szCs w:val="20"/>
          <w:lang w:eastAsia="es-ES"/>
        </w:rPr>
        <w:t>2</w:t>
      </w:r>
      <w:r>
        <w:rPr>
          <w:rFonts w:ascii="Lucida Sans Unicode" w:hAnsi="Lucida Sans Unicode" w:cs="Lucida Sans Unicode"/>
          <w:b/>
          <w:bCs/>
          <w:sz w:val="20"/>
          <w:szCs w:val="20"/>
          <w:lang w:eastAsia="es-ES"/>
        </w:rPr>
        <w:t xml:space="preserve">.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4"/>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w:t>
      </w:r>
      <w:r w:rsidRPr="00C743A2">
        <w:rPr>
          <w:rFonts w:ascii="Lucida Sans Unicode" w:hAnsi="Lucida Sans Unicode" w:cs="Lucida Sans Unicode"/>
          <w:sz w:val="20"/>
          <w:szCs w:val="20"/>
        </w:rPr>
        <w:lastRenderedPageBreak/>
        <w:t xml:space="preserve">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32BC7E11" w:rsidR="009452BA" w:rsidRPr="001C5ABC" w:rsidRDefault="006228FF"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13</w:t>
      </w:r>
      <w:r w:rsidR="009452BA" w:rsidRPr="00ED048C">
        <w:rPr>
          <w:rFonts w:ascii="Lucida Sans Unicode" w:eastAsia="Calibri" w:hAnsi="Lucida Sans Unicode" w:cs="Lucida Sans Unicode"/>
          <w:b/>
          <w:bCs/>
          <w:color w:val="000000"/>
          <w:sz w:val="20"/>
          <w:szCs w:val="20"/>
        </w:rPr>
        <w:t xml:space="preserve">. DEL PROGRAMA DE CAPACITACIÓN PARA LOS CÓMPUTOS. </w:t>
      </w:r>
      <w:r w:rsidR="009452BA" w:rsidRPr="00B46564">
        <w:rPr>
          <w:rFonts w:ascii="Lucida Sans Unicode" w:eastAsia="Calibri" w:hAnsi="Lucida Sans Unicode" w:cs="Lucida Sans Unicode"/>
          <w:color w:val="000000"/>
          <w:sz w:val="20"/>
          <w:szCs w:val="20"/>
        </w:rPr>
        <w:t>Durante el mes de mayo se llevaron a cabo las actividades de</w:t>
      </w:r>
      <w:r w:rsidR="009452BA">
        <w:rPr>
          <w:rFonts w:ascii="Lucida Sans Unicode" w:eastAsia="Calibri" w:hAnsi="Lucida Sans Unicode" w:cs="Lucida Sans Unicode"/>
          <w:b/>
          <w:bCs/>
          <w:color w:val="000000"/>
          <w:sz w:val="20"/>
          <w:szCs w:val="20"/>
        </w:rPr>
        <w:t xml:space="preserve"> </w:t>
      </w:r>
      <w:r w:rsidR="009452BA" w:rsidRPr="001C5ABC">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w:t>
      </w:r>
      <w:r w:rsidR="009452BA">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3719A64B"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w:t>
      </w:r>
      <w:r w:rsidR="006228FF">
        <w:rPr>
          <w:rFonts w:ascii="Lucida Sans Unicode" w:eastAsia="Calibri" w:hAnsi="Lucida Sans Unicode" w:cs="Lucida Sans Unicode"/>
          <w:b/>
          <w:bCs/>
          <w:color w:val="000000"/>
          <w:sz w:val="20"/>
          <w:szCs w:val="20"/>
        </w:rPr>
        <w:t>4</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525B33AF" w:rsidR="004148F1" w:rsidRDefault="009452BA" w:rsidP="00F60A56">
      <w:pPr>
        <w:tabs>
          <w:tab w:val="left" w:pos="567"/>
        </w:tabs>
        <w:spacing w:after="0" w:line="240" w:lineRule="auto"/>
        <w:contextualSpacing/>
        <w:jc w:val="both"/>
        <w:rPr>
          <w:rFonts w:ascii="Lucida Sans Unicode" w:hAnsi="Lucida Sans Unicode" w:cs="Lucida Sans Unicode"/>
          <w:sz w:val="20"/>
          <w:szCs w:val="20"/>
        </w:rPr>
      </w:pPr>
      <w:r w:rsidRPr="6DA75B5F">
        <w:rPr>
          <w:rFonts w:ascii="Lucida Sans Unicode" w:eastAsia="Calibri" w:hAnsi="Lucida Sans Unicode" w:cs="Lucida Sans Unicode"/>
          <w:b/>
          <w:color w:val="000000" w:themeColor="text1"/>
          <w:sz w:val="20"/>
          <w:szCs w:val="20"/>
        </w:rPr>
        <w:t>1</w:t>
      </w:r>
      <w:r w:rsidR="006228FF">
        <w:rPr>
          <w:rFonts w:ascii="Lucida Sans Unicode" w:eastAsia="Calibri" w:hAnsi="Lucida Sans Unicode" w:cs="Lucida Sans Unicode"/>
          <w:b/>
          <w:color w:val="000000" w:themeColor="text1"/>
          <w:sz w:val="20"/>
          <w:szCs w:val="20"/>
        </w:rPr>
        <w:t>5</w:t>
      </w:r>
      <w:r w:rsidRPr="6DA75B5F">
        <w:rPr>
          <w:rFonts w:ascii="Lucida Sans Unicode" w:eastAsia="Calibri" w:hAnsi="Lucida Sans Unicode" w:cs="Lucida Sans Unicode"/>
          <w:b/>
          <w:color w:val="000000" w:themeColor="text1"/>
          <w:sz w:val="20"/>
          <w:szCs w:val="20"/>
        </w:rPr>
        <w:t>. CÓMPUTO</w:t>
      </w:r>
      <w:r w:rsidR="00F846CA">
        <w:rPr>
          <w:rFonts w:ascii="Lucida Sans Unicode" w:eastAsia="Calibri" w:hAnsi="Lucida Sans Unicode" w:cs="Lucida Sans Unicode"/>
          <w:b/>
          <w:color w:val="000000" w:themeColor="text1"/>
          <w:sz w:val="20"/>
          <w:szCs w:val="20"/>
        </w:rPr>
        <w:t xml:space="preserve">S </w:t>
      </w:r>
      <w:r w:rsidRPr="6DA75B5F">
        <w:rPr>
          <w:rFonts w:ascii="Lucida Sans Unicode" w:eastAsia="Calibri" w:hAnsi="Lucida Sans Unicode" w:cs="Lucida Sans Unicode"/>
          <w:b/>
          <w:color w:val="000000" w:themeColor="text1"/>
          <w:sz w:val="20"/>
          <w:szCs w:val="20"/>
        </w:rPr>
        <w:t>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día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w:t>
      </w:r>
      <w:r w:rsidR="00683E2B">
        <w:rPr>
          <w:rFonts w:ascii="Lucida Sans Unicode" w:hAnsi="Lucida Sans Unicode" w:cs="Lucida Sans Unicode"/>
          <w:sz w:val="20"/>
          <w:szCs w:val="20"/>
        </w:rPr>
        <w:t xml:space="preserve">comenzaron con los trabajos de </w:t>
      </w:r>
      <w:r w:rsidR="00F846CA">
        <w:rPr>
          <w:rFonts w:ascii="Lucida Sans Unicode" w:hAnsi="Lucida Sans Unicode" w:cs="Lucida Sans Unicode"/>
          <w:sz w:val="20"/>
          <w:szCs w:val="20"/>
        </w:rPr>
        <w:t>los cómputos correspondientes</w:t>
      </w:r>
      <w:r w:rsidR="00683E2B">
        <w:rPr>
          <w:rFonts w:ascii="Lucida Sans Unicode" w:hAnsi="Lucida Sans Unicode" w:cs="Lucida Sans Unicode"/>
          <w:sz w:val="20"/>
          <w:szCs w:val="20"/>
        </w:rPr>
        <w:t>.</w:t>
      </w:r>
    </w:p>
    <w:p w14:paraId="1591911E" w14:textId="77777777" w:rsidR="00683E2B" w:rsidRDefault="00683E2B" w:rsidP="00F60A56">
      <w:pPr>
        <w:tabs>
          <w:tab w:val="left" w:pos="567"/>
        </w:tabs>
        <w:spacing w:after="0" w:line="240" w:lineRule="auto"/>
        <w:contextualSpacing/>
        <w:jc w:val="both"/>
        <w:rPr>
          <w:rFonts w:ascii="Lucida Sans Unicode" w:hAnsi="Lucida Sans Unicode" w:cs="Lucida Sans Unicode"/>
          <w:sz w:val="20"/>
          <w:szCs w:val="20"/>
        </w:rPr>
      </w:pPr>
    </w:p>
    <w:p w14:paraId="185FA689" w14:textId="7C9510CE" w:rsidR="00683E2B" w:rsidRPr="006532F5" w:rsidRDefault="00683E2B" w:rsidP="00F60A56">
      <w:pPr>
        <w:tabs>
          <w:tab w:val="left" w:pos="567"/>
        </w:tabs>
        <w:spacing w:after="0" w:line="240" w:lineRule="auto"/>
        <w:contextualSpacing/>
        <w:jc w:val="both"/>
        <w:rPr>
          <w:rFonts w:ascii="Lucida Sans Unicode" w:hAnsi="Lucida Sans Unicode" w:cs="Lucida Sans Unicode"/>
          <w:b/>
          <w:sz w:val="20"/>
          <w:szCs w:val="20"/>
        </w:rPr>
      </w:pPr>
      <w:r w:rsidRPr="00683E2B">
        <w:rPr>
          <w:rFonts w:ascii="Lucida Sans Unicode" w:hAnsi="Lucida Sans Unicode" w:cs="Lucida Sans Unicode"/>
          <w:b/>
          <w:bCs/>
          <w:sz w:val="20"/>
          <w:szCs w:val="20"/>
        </w:rPr>
        <w:t>1</w:t>
      </w:r>
      <w:r w:rsidR="006C4EAB">
        <w:rPr>
          <w:rFonts w:ascii="Lucida Sans Unicode" w:hAnsi="Lucida Sans Unicode" w:cs="Lucida Sans Unicode"/>
          <w:b/>
          <w:bCs/>
          <w:sz w:val="20"/>
          <w:szCs w:val="20"/>
        </w:rPr>
        <w:t>6</w:t>
      </w:r>
      <w:r w:rsidRPr="00683E2B">
        <w:rPr>
          <w:rFonts w:ascii="Lucida Sans Unicode" w:hAnsi="Lucida Sans Unicode" w:cs="Lucida Sans Unicode"/>
          <w:b/>
          <w:bCs/>
          <w:sz w:val="20"/>
          <w:szCs w:val="20"/>
        </w:rPr>
        <w:t>. DE LA SOLICITUD DE CAMBIO DE SEDE.</w:t>
      </w:r>
      <w:r>
        <w:rPr>
          <w:rFonts w:ascii="Lucida Sans Unicode" w:hAnsi="Lucida Sans Unicode" w:cs="Lucida Sans Unicode"/>
          <w:sz w:val="20"/>
          <w:szCs w:val="20"/>
        </w:rPr>
        <w:t xml:space="preserve"> El día de hoy el Consejo Municipal de Ojuelos de Jalisco, solicitó el cambio de sede al Consejo Distrital 02, con sede en Lagos de Moreno, Jalisco.</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B673EA">
        <w:rPr>
          <w:rFonts w:ascii="Lucida Sans Unicode" w:hAnsi="Lucida Sans Unicode" w:cs="Lucida Sans Unicode"/>
          <w:sz w:val="20"/>
          <w:szCs w:val="20"/>
        </w:rPr>
        <w:lastRenderedPageBreak/>
        <w:t xml:space="preserve">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que conforman el territorio estatal; proceso 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w:t>
      </w:r>
      <w:r w:rsidRPr="00903E31">
        <w:rPr>
          <w:rFonts w:ascii="Lucida Sans Unicode" w:hAnsi="Lucida Sans Unicode" w:cs="Lucida Sans Unicode"/>
          <w:sz w:val="20"/>
          <w:szCs w:val="20"/>
        </w:rPr>
        <w:lastRenderedPageBreak/>
        <w:t xml:space="preserve">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4B654694"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 xml:space="preserve">VI. DE LOS CONSEJOS MUNICIPALES ELECTORALES. </w:t>
      </w:r>
      <w:r w:rsidRPr="00122613">
        <w:rPr>
          <w:rFonts w:ascii="Lucida Sans Unicode" w:hAnsi="Lucida Sans Unicode" w:cs="Lucida Sans Unicode"/>
          <w:sz w:val="20"/>
          <w:szCs w:val="20"/>
        </w:rPr>
        <w:t>Los consejos 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0FCD139D"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Para cada Proceso Electoral, en cada uno de los municipios se integrará e instalará un Consejo Municipal Electoral.</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ED06BFB" w14:textId="2014FD38" w:rsidR="00F846CA" w:rsidRDefault="00F846CA" w:rsidP="00E76D80">
      <w:pPr>
        <w:pStyle w:val="Default"/>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VII. DE LAS ATRIBUCIONES DE LOS CONSEJOS MUNICIPALES ELECTORALES. </w:t>
      </w:r>
      <w:r w:rsidR="00E76D80">
        <w:rPr>
          <w:rFonts w:ascii="Lucida Sans Unicode" w:hAnsi="Lucida Sans Unicode" w:cs="Lucida Sans Unicode"/>
          <w:sz w:val="20"/>
          <w:szCs w:val="20"/>
        </w:rPr>
        <w:t>E</w:t>
      </w:r>
      <w:r>
        <w:rPr>
          <w:rFonts w:ascii="Lucida Sans Unicode" w:hAnsi="Lucida Sans Unicode" w:cs="Lucida Sans Unicode"/>
          <w:sz w:val="20"/>
          <w:szCs w:val="20"/>
        </w:rPr>
        <w:t>s</w:t>
      </w:r>
      <w:r>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w:t>
      </w:r>
      <w:r>
        <w:rPr>
          <w:rFonts w:ascii="Lucida Sans Unicode" w:hAnsi="Lucida Sans Unicode" w:cs="Lucida Sans Unicode"/>
          <w:bCs/>
          <w:sz w:val="20"/>
          <w:szCs w:val="20"/>
        </w:rPr>
        <w:lastRenderedPageBreak/>
        <w:t xml:space="preserve">General, y el acta circunstanciada de la sesión de cómputo, en los términos del artículo 166, párrafo 1, fracciones III, IV y V del Código Electoral del Estado de Jalisco. </w:t>
      </w:r>
    </w:p>
    <w:p w14:paraId="1CCB7053" w14:textId="77777777" w:rsidR="00F846CA"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Default="00F846CA" w:rsidP="00F846CA">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Default="00F846CA" w:rsidP="00F60A56">
      <w:pPr>
        <w:spacing w:after="0" w:line="240" w:lineRule="auto"/>
        <w:jc w:val="both"/>
        <w:rPr>
          <w:rFonts w:ascii="Lucida Sans Unicode" w:hAnsi="Lucida Sans Unicode" w:cs="Lucida Sans Unicode"/>
          <w:b/>
          <w:bCs/>
          <w:sz w:val="20"/>
          <w:szCs w:val="20"/>
        </w:rPr>
      </w:pPr>
    </w:p>
    <w:p w14:paraId="47A0D48A" w14:textId="3DF6A819"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OS CÓMPUTOS 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7EAC6AB8" w:rsidR="00DB519E" w:rsidRDefault="002C7E2D"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C09F3">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C09F3">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w:t>
      </w:r>
      <w:r w:rsidR="00FC09F3">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lectorales, </w:t>
      </w:r>
      <w:r w:rsidR="00552705">
        <w:rPr>
          <w:rFonts w:ascii="Lucida Sans Unicode" w:hAnsi="Lucida Sans Unicode" w:cs="Lucida Sans Unicode"/>
          <w:sz w:val="20"/>
          <w:szCs w:val="20"/>
        </w:rPr>
        <w:t xml:space="preserve">se llevaran a cabo </w:t>
      </w:r>
      <w:r w:rsidRPr="002C7E2D">
        <w:rPr>
          <w:rFonts w:ascii="Lucida Sans Unicode" w:hAnsi="Lucida Sans Unicode" w:cs="Lucida Sans Unicode"/>
          <w:sz w:val="20"/>
          <w:szCs w:val="20"/>
        </w:rPr>
        <w:t>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w:t>
      </w:r>
      <w:r w:rsidR="00552705">
        <w:rPr>
          <w:rFonts w:ascii="Lucida Sans Unicode" w:hAnsi="Lucida Sans Unicode" w:cs="Lucida Sans Unicode"/>
          <w:sz w:val="20"/>
          <w:szCs w:val="20"/>
        </w:rPr>
        <w:t>permanente</w:t>
      </w:r>
      <w:r w:rsidRPr="002C7E2D">
        <w:rPr>
          <w:rFonts w:ascii="Lucida Sans Unicode" w:hAnsi="Lucida Sans Unicode" w:cs="Lucida Sans Unicode"/>
          <w:sz w:val="20"/>
          <w:szCs w:val="20"/>
        </w:rPr>
        <w:t xml:space="preserve"> para realizar el cómputo de la elección de munícipes</w:t>
      </w:r>
      <w:r w:rsidR="00662C79">
        <w:rPr>
          <w:rFonts w:ascii="Lucida Sans Unicode" w:hAnsi="Lucida Sans Unicode" w:cs="Lucida Sans Unicode"/>
          <w:sz w:val="20"/>
          <w:szCs w:val="20"/>
        </w:rPr>
        <w:t>,</w:t>
      </w:r>
      <w:r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Pr="002C7E2D">
        <w:rPr>
          <w:rFonts w:ascii="Lucida Sans Unicode" w:hAnsi="Lucida Sans Unicode" w:cs="Lucida Sans Unicode"/>
          <w:sz w:val="20"/>
          <w:szCs w:val="20"/>
        </w:rPr>
        <w:t xml:space="preserve"> los artículos 370 y 37</w:t>
      </w:r>
      <w:r w:rsidR="00FE197A">
        <w:rPr>
          <w:rFonts w:ascii="Lucida Sans Unicode" w:hAnsi="Lucida Sans Unicode" w:cs="Lucida Sans Unicode"/>
          <w:sz w:val="20"/>
          <w:szCs w:val="20"/>
        </w:rPr>
        <w:t>2</w:t>
      </w:r>
      <w:r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numeral 3, </w:t>
      </w:r>
      <w:r w:rsidR="00AE1260">
        <w:rPr>
          <w:rFonts w:ascii="Lucida Sans Unicode" w:hAnsi="Lucida Sans Unicode" w:cs="Lucida Sans Unicode"/>
          <w:sz w:val="20"/>
          <w:szCs w:val="20"/>
        </w:rPr>
        <w:t xml:space="preserve">del quinto </w:t>
      </w:r>
      <w:r w:rsidR="00E52AA0">
        <w:rPr>
          <w:rFonts w:ascii="Lucida Sans Unicode" w:hAnsi="Lucida Sans Unicode" w:cs="Lucida Sans Unicode"/>
          <w:sz w:val="20"/>
          <w:szCs w:val="20"/>
        </w:rPr>
        <w:t>párrafo, del artículo 41 de los “</w:t>
      </w:r>
      <w:r w:rsidR="00E52AA0" w:rsidRPr="00D71884">
        <w:rPr>
          <w:rFonts w:ascii="Lucida Sans Unicode" w:hAnsi="Lucida Sans Unicode" w:cs="Lucida Sans Unicode"/>
          <w:sz w:val="20"/>
          <w:szCs w:val="20"/>
        </w:rPr>
        <w:t xml:space="preserve">Lineamientos que regulan el desarrollo de las sesiones de 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w:t>
      </w:r>
      <w:r w:rsidR="00233EAC" w:rsidRPr="00122613">
        <w:rPr>
          <w:rFonts w:ascii="Lucida Sans Unicode" w:hAnsi="Lucida Sans Unicode" w:cs="Lucida Sans Unicode"/>
          <w:sz w:val="20"/>
          <w:szCs w:val="20"/>
          <w:lang w:eastAsia="es-MX"/>
        </w:rPr>
        <w:lastRenderedPageBreak/>
        <w:t>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1C404BA6" w:rsidR="0053490C" w:rsidRDefault="005C3B93" w:rsidP="00F60A56">
      <w:pPr>
        <w:pStyle w:val="Sinespaciado"/>
        <w:jc w:val="both"/>
        <w:rPr>
          <w:rFonts w:ascii="Lucida Sans Unicode" w:hAnsi="Lucida Sans Unicode" w:cs="Lucida Sans Unicode"/>
          <w:sz w:val="20"/>
          <w:szCs w:val="20"/>
        </w:rPr>
      </w:pPr>
      <w:r w:rsidRPr="008F452D">
        <w:rPr>
          <w:rFonts w:ascii="Lucida Sans Unicode" w:hAnsi="Lucida Sans Unicode" w:cs="Lucida Sans Unicode"/>
          <w:b/>
          <w:bCs/>
          <w:sz w:val="20"/>
          <w:szCs w:val="20"/>
        </w:rPr>
        <w:t xml:space="preserve">X. </w:t>
      </w:r>
      <w:r w:rsidR="007B5704" w:rsidRPr="008F452D">
        <w:rPr>
          <w:rFonts w:ascii="Lucida Sans Unicode" w:hAnsi="Lucida Sans Unicode" w:cs="Lucida Sans Unicode"/>
          <w:b/>
          <w:bCs/>
          <w:sz w:val="20"/>
          <w:szCs w:val="20"/>
        </w:rPr>
        <w:t>DE L</w:t>
      </w:r>
      <w:r w:rsidR="008F452D" w:rsidRPr="008F452D">
        <w:rPr>
          <w:rFonts w:ascii="Lucida Sans Unicode" w:hAnsi="Lucida Sans Unicode" w:cs="Lucida Sans Unicode"/>
          <w:b/>
          <w:bCs/>
          <w:sz w:val="20"/>
          <w:szCs w:val="20"/>
        </w:rPr>
        <w:t>A SOLICITUD DE CAMBIO DE SEDE</w:t>
      </w:r>
      <w:r w:rsidRPr="008F452D">
        <w:rPr>
          <w:rFonts w:ascii="Lucida Sans Unicode" w:hAnsi="Lucida Sans Unicode" w:cs="Lucida Sans Unicode"/>
          <w:b/>
          <w:bCs/>
          <w:sz w:val="20"/>
          <w:szCs w:val="20"/>
        </w:rPr>
        <w:t>.</w:t>
      </w:r>
      <w:r w:rsidRPr="008F452D">
        <w:rPr>
          <w:rFonts w:ascii="Lucida Sans Unicode" w:hAnsi="Lucida Sans Unicode" w:cs="Lucida Sans Unicode"/>
          <w:sz w:val="20"/>
          <w:szCs w:val="20"/>
        </w:rPr>
        <w:t xml:space="preserve"> </w:t>
      </w:r>
      <w:r w:rsidR="008F452D">
        <w:rPr>
          <w:rFonts w:ascii="Lucida Sans Unicode" w:hAnsi="Lucida Sans Unicode" w:cs="Lucida Sans Unicode"/>
          <w:sz w:val="20"/>
          <w:szCs w:val="20"/>
        </w:rPr>
        <w:t>Como se estableció en el antecedente 1</w:t>
      </w:r>
      <w:r w:rsidR="00C0290A">
        <w:rPr>
          <w:rFonts w:ascii="Lucida Sans Unicode" w:hAnsi="Lucida Sans Unicode" w:cs="Lucida Sans Unicode"/>
          <w:sz w:val="20"/>
          <w:szCs w:val="20"/>
        </w:rPr>
        <w:t>6</w:t>
      </w:r>
      <w:r w:rsidR="008F452D">
        <w:rPr>
          <w:rFonts w:ascii="Lucida Sans Unicode" w:hAnsi="Lucida Sans Unicode" w:cs="Lucida Sans Unicode"/>
          <w:sz w:val="20"/>
          <w:szCs w:val="20"/>
        </w:rPr>
        <w:t xml:space="preserve">, el Consejo Municipal de Ojuelos de Jalisco, solicitó el cambio de sede para continuar con los trabajos de cómputo, en atención a que el domicilio actual ya no se presta para una buena logística y los espacios resultan insuficientes para seguir con dichos trabajos; consecuentemente, se aprueba que el Consejo Municipal de Ojuelos de Jalisco, continúe </w:t>
      </w:r>
      <w:r w:rsidR="008F452D">
        <w:rPr>
          <w:rFonts w:ascii="Lucida Sans Unicode" w:hAnsi="Lucida Sans Unicode" w:cs="Lucida Sans Unicode"/>
          <w:sz w:val="20"/>
          <w:szCs w:val="20"/>
        </w:rPr>
        <w:lastRenderedPageBreak/>
        <w:t xml:space="preserve">sus actividades en la sede que ocupa el Consejo </w:t>
      </w:r>
      <w:r w:rsidR="00C0290A">
        <w:rPr>
          <w:rFonts w:ascii="Lucida Sans Unicode" w:hAnsi="Lucida Sans Unicode" w:cs="Lucida Sans Unicode"/>
          <w:sz w:val="20"/>
          <w:szCs w:val="20"/>
        </w:rPr>
        <w:t>Municipal Electoral ubicado</w:t>
      </w:r>
      <w:r w:rsidR="008F452D">
        <w:rPr>
          <w:rFonts w:ascii="Lucida Sans Unicode" w:hAnsi="Lucida Sans Unicode" w:cs="Lucida Sans Unicode"/>
          <w:sz w:val="20"/>
          <w:szCs w:val="20"/>
        </w:rPr>
        <w:t xml:space="preserve"> en Lagos de Moreno, Jalisco.</w:t>
      </w:r>
      <w:r w:rsidR="002F1CF3" w:rsidRPr="002F1CF3">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551C108D"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X</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3594E08B"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 aprueba</w:t>
      </w:r>
      <w:r w:rsidR="00C04EDB">
        <w:rPr>
          <w:rFonts w:ascii="Lucida Sans Unicode" w:eastAsia="Lucida Sans Unicode" w:hAnsi="Lucida Sans Unicode" w:cs="Lucida Sans Unicode"/>
          <w:sz w:val="20"/>
          <w:szCs w:val="20"/>
          <w:lang w:val="es-MX"/>
        </w:rPr>
        <w:t xml:space="preserve"> </w:t>
      </w:r>
      <w:r w:rsidR="006D5878">
        <w:rPr>
          <w:rFonts w:ascii="Lucida Sans Unicode" w:hAnsi="Lucida Sans Unicode" w:cs="Lucida Sans Unicode"/>
          <w:sz w:val="20"/>
          <w:szCs w:val="20"/>
        </w:rPr>
        <w:t xml:space="preserve">el cambio de sede del Consejo Municipal de Ojuelos de Jalisco, para que continúe sus actividades en la sede que ocupa el Consejo </w:t>
      </w:r>
      <w:r w:rsidR="001E781B">
        <w:rPr>
          <w:rFonts w:ascii="Lucida Sans Unicode" w:hAnsi="Lucida Sans Unicode" w:cs="Lucida Sans Unicode"/>
          <w:sz w:val="20"/>
          <w:szCs w:val="20"/>
        </w:rPr>
        <w:t>Municipal Electoral de</w:t>
      </w:r>
      <w:r w:rsidR="006D5878">
        <w:rPr>
          <w:rFonts w:ascii="Lucida Sans Unicode" w:hAnsi="Lucida Sans Unicode" w:cs="Lucida Sans Unicode"/>
          <w:sz w:val="20"/>
          <w:szCs w:val="20"/>
        </w:rPr>
        <w:t xml:space="preserve"> Lagos de Moreno, Jalisco,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63DC0EC5" w14:textId="77777777" w:rsidR="00E84FBF" w:rsidRDefault="00E84FBF" w:rsidP="00F60A56">
      <w:pPr>
        <w:pStyle w:val="Sinespaciado"/>
        <w:jc w:val="both"/>
        <w:rPr>
          <w:rFonts w:ascii="Lucida Sans Unicode" w:eastAsia="Lucida Sans Unicode" w:hAnsi="Lucida Sans Unicode" w:cs="Lucida Sans Unicode"/>
          <w:bCs/>
          <w:sz w:val="20"/>
          <w:szCs w:val="20"/>
        </w:rPr>
      </w:pPr>
    </w:p>
    <w:p w14:paraId="51BDE1AC" w14:textId="1766AAEA" w:rsidR="00647074" w:rsidRDefault="007F6FE9" w:rsidP="006D5878">
      <w:pPr>
        <w:pStyle w:val="Sinespaciado"/>
        <w:jc w:val="both"/>
        <w:rPr>
          <w:rFonts w:ascii="Lucida Sans Unicode" w:hAnsi="Lucida Sans Unicode" w:cs="Lucida Sans Unicode"/>
          <w:sz w:val="20"/>
          <w:szCs w:val="20"/>
        </w:rPr>
      </w:pPr>
      <w:r w:rsidRPr="001C5ABC">
        <w:rPr>
          <w:rFonts w:ascii="Lucida Sans Unicode" w:eastAsia="Lucida Sans Unicode" w:hAnsi="Lucida Sans Unicode" w:cs="Lucida Sans Unicode"/>
          <w:b/>
          <w:sz w:val="20"/>
          <w:szCs w:val="20"/>
        </w:rPr>
        <w:t>SEGUNDO</w:t>
      </w:r>
      <w:r w:rsidR="005A644A" w:rsidRPr="001C5ABC">
        <w:rPr>
          <w:rFonts w:ascii="Lucida Sans Unicode" w:eastAsia="Lucida Sans Unicode" w:hAnsi="Lucida Sans Unicode" w:cs="Lucida Sans Unicode"/>
          <w:bCs/>
          <w:sz w:val="20"/>
          <w:szCs w:val="20"/>
        </w:rPr>
        <w:t>.</w:t>
      </w:r>
      <w:r w:rsidR="005A644A" w:rsidRPr="001C5ABC">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w:t>
      </w:r>
      <w:r w:rsidR="00B82DA7">
        <w:rPr>
          <w:rFonts w:ascii="Lucida Sans Unicode" w:hAnsi="Lucida Sans Unicode" w:cs="Lucida Sans Unicode"/>
          <w:sz w:val="20"/>
          <w:szCs w:val="20"/>
        </w:rPr>
        <w:t>al Consejo Municipal Electoral</w:t>
      </w:r>
      <w:r w:rsidR="00647074" w:rsidRPr="00A24883">
        <w:rPr>
          <w:rFonts w:ascii="Lucida Sans Unicode" w:hAnsi="Lucida Sans Unicode" w:cs="Lucida Sans Unicode"/>
          <w:sz w:val="20"/>
          <w:szCs w:val="20"/>
        </w:rPr>
        <w:t xml:space="preserve"> de </w:t>
      </w:r>
      <w:r w:rsidR="006D5878">
        <w:rPr>
          <w:rFonts w:ascii="Lucida Sans Unicode" w:hAnsi="Lucida Sans Unicode" w:cs="Lucida Sans Unicode"/>
          <w:sz w:val="20"/>
          <w:szCs w:val="20"/>
        </w:rPr>
        <w:t>Ojuelos de Jalisco</w:t>
      </w:r>
      <w:r w:rsidR="00D45C7F">
        <w:rPr>
          <w:rFonts w:ascii="Lucida Sans Unicode" w:hAnsi="Lucida Sans Unicode" w:cs="Lucida Sans Unicode"/>
          <w:sz w:val="20"/>
          <w:szCs w:val="20"/>
        </w:rPr>
        <w:t xml:space="preserve"> y al Consejo </w:t>
      </w:r>
      <w:r w:rsidR="00EA75A9">
        <w:rPr>
          <w:rFonts w:ascii="Lucida Sans Unicode" w:hAnsi="Lucida Sans Unicode" w:cs="Lucida Sans Unicode"/>
          <w:sz w:val="20"/>
          <w:szCs w:val="20"/>
        </w:rPr>
        <w:t xml:space="preserve">Municipal Electoral de </w:t>
      </w:r>
      <w:r w:rsidR="00D45C7F">
        <w:rPr>
          <w:rFonts w:ascii="Lucida Sans Unicode" w:hAnsi="Lucida Sans Unicode" w:cs="Lucida Sans Unicode"/>
          <w:sz w:val="20"/>
          <w:szCs w:val="20"/>
        </w:rPr>
        <w:t xml:space="preserve">Lagos de Moreno, Jalisco,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0F58F18B" w:rsidR="00192F4C" w:rsidRPr="001C5ABC" w:rsidRDefault="0073337E"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t>CUARTO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61AD9B82"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58B7868F"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13B1F498" w:rsidR="00F60C3A" w:rsidRPr="004375FF"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lastRenderedPageBreak/>
        <w:t>SÉPTIMO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1E540C3A"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235803">
        <w:rPr>
          <w:rFonts w:ascii="Lucida Sans Unicode" w:hAnsi="Lucida Sans Unicode" w:cs="Lucida Sans Unicode"/>
          <w:b/>
          <w:sz w:val="20"/>
          <w:szCs w:val="20"/>
          <w:lang w:eastAsia="es-MX"/>
        </w:rPr>
        <w:t>0</w:t>
      </w:r>
      <w:r w:rsidR="00EA75A9">
        <w:rPr>
          <w:rFonts w:ascii="Lucida Sans Unicode" w:hAnsi="Lucida Sans Unicode" w:cs="Lucida Sans Unicode"/>
          <w:b/>
          <w:sz w:val="20"/>
          <w:szCs w:val="20"/>
          <w:lang w:eastAsia="es-MX"/>
        </w:rPr>
        <w:t>6</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61"/>
        <w:gridCol w:w="4364"/>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2B82BADE" w14:textId="77777777" w:rsidR="00A94922" w:rsidRDefault="00A94922" w:rsidP="00F60A56">
      <w:pPr>
        <w:pStyle w:val="Sinespaciado"/>
        <w:jc w:val="both"/>
        <w:rPr>
          <w:rFonts w:ascii="Lucida Sans Unicode" w:eastAsia="Lucida Sans Unicode" w:hAnsi="Lucida Sans Unicode" w:cs="Lucida Sans Unicode"/>
          <w:sz w:val="20"/>
          <w:szCs w:val="20"/>
          <w:lang w:val="es-MX"/>
        </w:rPr>
      </w:pPr>
    </w:p>
    <w:p w14:paraId="708DC090" w14:textId="77777777" w:rsidR="00A94922" w:rsidRPr="005E7798" w:rsidRDefault="00A94922" w:rsidP="00A94922">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5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09213C04" w14:textId="77777777" w:rsidR="00A94922" w:rsidRDefault="00A94922" w:rsidP="00A94922">
      <w:pPr>
        <w:suppressAutoHyphens/>
        <w:spacing w:after="0"/>
        <w:jc w:val="center"/>
        <w:rPr>
          <w:rFonts w:ascii="Lucida Sans Unicode" w:eastAsia="Trebuchet MS" w:hAnsi="Lucida Sans Unicode" w:cs="Lucida Sans Unicode"/>
          <w:sz w:val="14"/>
          <w:szCs w:val="14"/>
          <w:lang w:val="es-ES" w:eastAsia="ar-SA"/>
        </w:rPr>
      </w:pPr>
    </w:p>
    <w:p w14:paraId="5B0827EA" w14:textId="77777777" w:rsidR="00A94922" w:rsidRPr="005E7798" w:rsidRDefault="00A94922" w:rsidP="00A94922">
      <w:pPr>
        <w:suppressAutoHyphens/>
        <w:spacing w:after="0"/>
        <w:jc w:val="center"/>
        <w:rPr>
          <w:rFonts w:ascii="Lucida Sans Unicode" w:eastAsia="Trebuchet MS" w:hAnsi="Lucida Sans Unicode" w:cs="Lucida Sans Unicode"/>
          <w:sz w:val="14"/>
          <w:szCs w:val="14"/>
          <w:lang w:val="es-ES" w:eastAsia="ar-SA"/>
        </w:rPr>
      </w:pPr>
    </w:p>
    <w:p w14:paraId="62F01A44" w14:textId="77777777" w:rsidR="00A94922" w:rsidRPr="005E7798" w:rsidRDefault="00A94922" w:rsidP="00A94922">
      <w:pPr>
        <w:suppressAutoHyphens/>
        <w:spacing w:after="0"/>
        <w:jc w:val="center"/>
        <w:rPr>
          <w:rFonts w:ascii="Lucida Sans Unicode" w:eastAsia="Trebuchet MS" w:hAnsi="Lucida Sans Unicode" w:cs="Lucida Sans Unicode"/>
          <w:sz w:val="14"/>
          <w:szCs w:val="14"/>
          <w:lang w:val="es-ES" w:eastAsia="ar-SA"/>
        </w:rPr>
      </w:pPr>
    </w:p>
    <w:p w14:paraId="302C8FE0" w14:textId="77777777" w:rsidR="00A94922" w:rsidRPr="005E7798" w:rsidRDefault="00A94922" w:rsidP="00A94922">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389850CD" w14:textId="77777777" w:rsidR="00A94922" w:rsidRDefault="00A94922" w:rsidP="00A94922">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4660ACCD" w14:textId="77777777" w:rsidR="00A94922" w:rsidRDefault="00A94922" w:rsidP="00A94922">
      <w:pPr>
        <w:pStyle w:val="Sinespaciado"/>
        <w:jc w:val="both"/>
        <w:rPr>
          <w:rFonts w:ascii="Lucida Sans Unicode" w:eastAsia="Lucida Sans Unicode" w:hAnsi="Lucida Sans Unicode" w:cs="Lucida Sans Unicode"/>
          <w:sz w:val="20"/>
          <w:szCs w:val="20"/>
          <w:lang w:val="es-MX"/>
        </w:rPr>
      </w:pPr>
    </w:p>
    <w:p w14:paraId="414E3681" w14:textId="77777777" w:rsidR="00A94922" w:rsidRDefault="00A94922" w:rsidP="00F60A56">
      <w:pPr>
        <w:pStyle w:val="Sinespaciado"/>
        <w:jc w:val="both"/>
        <w:rPr>
          <w:rFonts w:ascii="Lucida Sans Unicode" w:eastAsia="Lucida Sans Unicode" w:hAnsi="Lucida Sans Unicode" w:cs="Lucida Sans Unicode"/>
          <w:sz w:val="20"/>
          <w:szCs w:val="20"/>
          <w:lang w:val="es-MX"/>
        </w:rPr>
      </w:pPr>
    </w:p>
    <w:sectPr w:rsidR="00A94922" w:rsidSect="00A94922">
      <w:headerReference w:type="even" r:id="rId11"/>
      <w:headerReference w:type="default" r:id="rId12"/>
      <w:footerReference w:type="even" r:id="rId13"/>
      <w:footerReference w:type="default" r:id="rId14"/>
      <w:headerReference w:type="first" r:id="rId15"/>
      <w:pgSz w:w="12240" w:h="15840" w:code="1"/>
      <w:pgMar w:top="2410" w:right="1814"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37A2" w14:textId="77777777" w:rsidR="003001D3" w:rsidRDefault="003001D3" w:rsidP="00035F75">
      <w:pPr>
        <w:spacing w:after="0" w:line="240" w:lineRule="auto"/>
      </w:pPr>
      <w:r>
        <w:separator/>
      </w:r>
    </w:p>
  </w:endnote>
  <w:endnote w:type="continuationSeparator" w:id="0">
    <w:p w14:paraId="29C8F007" w14:textId="77777777" w:rsidR="003001D3" w:rsidRDefault="003001D3" w:rsidP="00035F75">
      <w:pPr>
        <w:spacing w:after="0" w:line="240" w:lineRule="auto"/>
      </w:pPr>
      <w:r>
        <w:continuationSeparator/>
      </w:r>
    </w:p>
  </w:endnote>
  <w:endnote w:type="continuationNotice" w:id="1">
    <w:p w14:paraId="346C1FDD" w14:textId="77777777" w:rsidR="003001D3" w:rsidRDefault="003001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E7E8B" w14:textId="77777777" w:rsidR="003001D3" w:rsidRDefault="003001D3" w:rsidP="00035F75">
      <w:pPr>
        <w:spacing w:after="0" w:line="240" w:lineRule="auto"/>
      </w:pPr>
      <w:r>
        <w:separator/>
      </w:r>
    </w:p>
  </w:footnote>
  <w:footnote w:type="continuationSeparator" w:id="0">
    <w:p w14:paraId="3ACA737B" w14:textId="77777777" w:rsidR="003001D3" w:rsidRDefault="003001D3" w:rsidP="00035F75">
      <w:pPr>
        <w:spacing w:after="0" w:line="240" w:lineRule="auto"/>
      </w:pPr>
      <w:r>
        <w:continuationSeparator/>
      </w:r>
    </w:p>
  </w:footnote>
  <w:footnote w:type="continuationNotice" w:id="1">
    <w:p w14:paraId="08B885F5" w14:textId="77777777" w:rsidR="003001D3" w:rsidRDefault="003001D3">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1">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2">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3">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4">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5">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798" w14:textId="79E0261D"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27233294"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22080C8C"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A94922">
                            <w:rPr>
                              <w:rFonts w:ascii="Lucida Sans Unicode" w:hAnsi="Lucida Sans Unicode" w:cs="Lucida Sans Unicode"/>
                              <w:b/>
                              <w:sz w:val="20"/>
                              <w:szCs w:val="24"/>
                            </w:rPr>
                            <w:t>191</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22080C8C"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A94922">
                      <w:rPr>
                        <w:rFonts w:ascii="Lucida Sans Unicode" w:hAnsi="Lucida Sans Unicode" w:cs="Lucida Sans Unicode"/>
                        <w:b/>
                        <w:sz w:val="20"/>
                        <w:szCs w:val="24"/>
                      </w:rPr>
                      <w:t>191</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F35D" w14:textId="65369432"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7740"/>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472F2"/>
    <w:rsid w:val="0015033F"/>
    <w:rsid w:val="00153683"/>
    <w:rsid w:val="00157210"/>
    <w:rsid w:val="00157604"/>
    <w:rsid w:val="00157FC9"/>
    <w:rsid w:val="00163BA4"/>
    <w:rsid w:val="00165E75"/>
    <w:rsid w:val="00166641"/>
    <w:rsid w:val="00166C28"/>
    <w:rsid w:val="00166CD6"/>
    <w:rsid w:val="00171AA0"/>
    <w:rsid w:val="00174DC9"/>
    <w:rsid w:val="00176006"/>
    <w:rsid w:val="00184696"/>
    <w:rsid w:val="00186B8E"/>
    <w:rsid w:val="00192F4C"/>
    <w:rsid w:val="001930D7"/>
    <w:rsid w:val="00193EE5"/>
    <w:rsid w:val="0019702E"/>
    <w:rsid w:val="001A1007"/>
    <w:rsid w:val="001A4F83"/>
    <w:rsid w:val="001A7E9F"/>
    <w:rsid w:val="001B1678"/>
    <w:rsid w:val="001B24B8"/>
    <w:rsid w:val="001B6EB2"/>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81B"/>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3D19"/>
    <w:rsid w:val="00226F94"/>
    <w:rsid w:val="00233EAC"/>
    <w:rsid w:val="002346C3"/>
    <w:rsid w:val="00235803"/>
    <w:rsid w:val="002436D9"/>
    <w:rsid w:val="00244B3A"/>
    <w:rsid w:val="00252333"/>
    <w:rsid w:val="00260836"/>
    <w:rsid w:val="00266119"/>
    <w:rsid w:val="00271A6B"/>
    <w:rsid w:val="002742A3"/>
    <w:rsid w:val="0027609C"/>
    <w:rsid w:val="00276142"/>
    <w:rsid w:val="00277217"/>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1CF3"/>
    <w:rsid w:val="002F37BF"/>
    <w:rsid w:val="002F40F5"/>
    <w:rsid w:val="002F697C"/>
    <w:rsid w:val="002F74CB"/>
    <w:rsid w:val="002F7BE6"/>
    <w:rsid w:val="002F7F08"/>
    <w:rsid w:val="003001D3"/>
    <w:rsid w:val="00303146"/>
    <w:rsid w:val="00304D30"/>
    <w:rsid w:val="00311453"/>
    <w:rsid w:val="00311536"/>
    <w:rsid w:val="00312ACC"/>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4D16"/>
    <w:rsid w:val="0035554A"/>
    <w:rsid w:val="00356106"/>
    <w:rsid w:val="00356647"/>
    <w:rsid w:val="003643AB"/>
    <w:rsid w:val="00364AAC"/>
    <w:rsid w:val="00366A81"/>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455E"/>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6F3E"/>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228FF"/>
    <w:rsid w:val="0063249E"/>
    <w:rsid w:val="00632734"/>
    <w:rsid w:val="00641CC2"/>
    <w:rsid w:val="00641DBD"/>
    <w:rsid w:val="006437B9"/>
    <w:rsid w:val="00647074"/>
    <w:rsid w:val="0065303B"/>
    <w:rsid w:val="006532F5"/>
    <w:rsid w:val="0066063A"/>
    <w:rsid w:val="00661E9C"/>
    <w:rsid w:val="00662C79"/>
    <w:rsid w:val="00667D8C"/>
    <w:rsid w:val="00671D5B"/>
    <w:rsid w:val="00673A5D"/>
    <w:rsid w:val="00677927"/>
    <w:rsid w:val="006804E8"/>
    <w:rsid w:val="00680D04"/>
    <w:rsid w:val="00680FB4"/>
    <w:rsid w:val="0068168E"/>
    <w:rsid w:val="00681895"/>
    <w:rsid w:val="00681F3C"/>
    <w:rsid w:val="00682EA4"/>
    <w:rsid w:val="00683E2B"/>
    <w:rsid w:val="006851A8"/>
    <w:rsid w:val="006903F4"/>
    <w:rsid w:val="00691525"/>
    <w:rsid w:val="00692677"/>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C4EAB"/>
    <w:rsid w:val="006D1B48"/>
    <w:rsid w:val="006D1DCD"/>
    <w:rsid w:val="006D5878"/>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52D"/>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239C"/>
    <w:rsid w:val="00923501"/>
    <w:rsid w:val="00923C0F"/>
    <w:rsid w:val="009244F7"/>
    <w:rsid w:val="009311BA"/>
    <w:rsid w:val="009340D4"/>
    <w:rsid w:val="00934B76"/>
    <w:rsid w:val="0093560E"/>
    <w:rsid w:val="009359B4"/>
    <w:rsid w:val="009452BA"/>
    <w:rsid w:val="009457B0"/>
    <w:rsid w:val="0094664F"/>
    <w:rsid w:val="00946678"/>
    <w:rsid w:val="00950F3B"/>
    <w:rsid w:val="0095174C"/>
    <w:rsid w:val="0095468C"/>
    <w:rsid w:val="0095602B"/>
    <w:rsid w:val="0096053E"/>
    <w:rsid w:val="00963038"/>
    <w:rsid w:val="00963DF2"/>
    <w:rsid w:val="00964F88"/>
    <w:rsid w:val="009655F9"/>
    <w:rsid w:val="00966F16"/>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21FD"/>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2A0E"/>
    <w:rsid w:val="00A63F61"/>
    <w:rsid w:val="00A64524"/>
    <w:rsid w:val="00A7099A"/>
    <w:rsid w:val="00A731BD"/>
    <w:rsid w:val="00A73B87"/>
    <w:rsid w:val="00A77CF2"/>
    <w:rsid w:val="00A80109"/>
    <w:rsid w:val="00A80950"/>
    <w:rsid w:val="00A80E9D"/>
    <w:rsid w:val="00A84AB6"/>
    <w:rsid w:val="00A852CB"/>
    <w:rsid w:val="00A869CC"/>
    <w:rsid w:val="00A94922"/>
    <w:rsid w:val="00A94991"/>
    <w:rsid w:val="00AA283A"/>
    <w:rsid w:val="00AA7220"/>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3A7D"/>
    <w:rsid w:val="00B441E1"/>
    <w:rsid w:val="00B44F2E"/>
    <w:rsid w:val="00B45575"/>
    <w:rsid w:val="00B53F00"/>
    <w:rsid w:val="00B62FCF"/>
    <w:rsid w:val="00B647EB"/>
    <w:rsid w:val="00B673EA"/>
    <w:rsid w:val="00B70A81"/>
    <w:rsid w:val="00B72BAC"/>
    <w:rsid w:val="00B81A58"/>
    <w:rsid w:val="00B82DA7"/>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290A"/>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2E5"/>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5C7F"/>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1939"/>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6D80"/>
    <w:rsid w:val="00E77852"/>
    <w:rsid w:val="00E84FBF"/>
    <w:rsid w:val="00E9129A"/>
    <w:rsid w:val="00E939B5"/>
    <w:rsid w:val="00E94806"/>
    <w:rsid w:val="00E9650A"/>
    <w:rsid w:val="00EA09F3"/>
    <w:rsid w:val="00EA322F"/>
    <w:rsid w:val="00EA34FD"/>
    <w:rsid w:val="00EA3A21"/>
    <w:rsid w:val="00EA7562"/>
    <w:rsid w:val="00EA75A9"/>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3983"/>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2.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3.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4.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3860</Words>
  <Characters>21233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25043</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Hector Alexis Ibarra Lopez</cp:lastModifiedBy>
  <cp:revision>22</cp:revision>
  <cp:lastPrinted>2024-06-07T00:56:00Z</cp:lastPrinted>
  <dcterms:created xsi:type="dcterms:W3CDTF">2024-06-07T00:18:00Z</dcterms:created>
  <dcterms:modified xsi:type="dcterms:W3CDTF">2024-06-07T00:57:00Z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