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0507" w14:textId="77777777" w:rsidR="00D006E2" w:rsidRPr="000E0A00" w:rsidRDefault="00D006E2" w:rsidP="00D006E2">
      <w:pPr>
        <w:jc w:val="center"/>
        <w:rPr>
          <w:rFonts w:ascii="Trebuchet MS" w:hAnsi="Trebuchet MS"/>
          <w:b/>
          <w:sz w:val="32"/>
          <w:szCs w:val="32"/>
          <w:lang w:val="es-MX"/>
        </w:rPr>
      </w:pPr>
      <w:bookmarkStart w:id="0" w:name="_GoBack"/>
      <w:bookmarkEnd w:id="0"/>
      <w:r w:rsidRPr="000E0A00">
        <w:rPr>
          <w:rFonts w:ascii="Trebuchet MS" w:hAnsi="Trebuchet MS"/>
          <w:b/>
          <w:sz w:val="32"/>
          <w:szCs w:val="32"/>
          <w:lang w:val="es-MX"/>
        </w:rPr>
        <w:t>R</w:t>
      </w:r>
      <w:r w:rsidR="00523867" w:rsidRPr="000E0A00">
        <w:rPr>
          <w:rFonts w:ascii="Trebuchet MS" w:hAnsi="Trebuchet MS"/>
          <w:b/>
          <w:sz w:val="32"/>
          <w:szCs w:val="32"/>
          <w:lang w:val="es-MX"/>
        </w:rPr>
        <w:t>eglamento de los procesos internos de selección de candidatos y precampañas del Instituto Electoral y de Participación Ciudadana del Estado de Jalisco</w:t>
      </w:r>
    </w:p>
    <w:p w14:paraId="79148687" w14:textId="77777777" w:rsidR="00D006E2" w:rsidRPr="000E0A00" w:rsidRDefault="00D006E2" w:rsidP="00D006E2">
      <w:pPr>
        <w:jc w:val="center"/>
        <w:rPr>
          <w:rFonts w:ascii="Trebuchet MS" w:hAnsi="Trebuchet MS"/>
          <w:b/>
          <w:sz w:val="28"/>
          <w:szCs w:val="28"/>
          <w:lang w:val="es-MX"/>
        </w:rPr>
      </w:pPr>
    </w:p>
    <w:p w14:paraId="2379E799" w14:textId="77777777" w:rsidR="00D006E2" w:rsidRPr="000E0A00" w:rsidRDefault="00D006E2" w:rsidP="00D006E2">
      <w:pPr>
        <w:jc w:val="center"/>
        <w:rPr>
          <w:rFonts w:ascii="Trebuchet MS" w:hAnsi="Trebuchet MS"/>
          <w:b/>
          <w:lang w:val="es-MX"/>
        </w:rPr>
      </w:pPr>
      <w:r w:rsidRPr="000E0A00">
        <w:rPr>
          <w:rFonts w:ascii="Trebuchet MS" w:hAnsi="Trebuchet MS"/>
          <w:b/>
          <w:lang w:val="es-MX"/>
        </w:rPr>
        <w:t>Capítulo I</w:t>
      </w:r>
    </w:p>
    <w:p w14:paraId="16B6AA7B" w14:textId="77777777" w:rsidR="00D006E2" w:rsidRPr="000E0A00" w:rsidRDefault="00D006E2" w:rsidP="00D006E2">
      <w:pPr>
        <w:jc w:val="center"/>
        <w:rPr>
          <w:rFonts w:ascii="Trebuchet MS" w:hAnsi="Trebuchet MS"/>
          <w:b/>
          <w:lang w:val="es-MX"/>
        </w:rPr>
      </w:pPr>
      <w:r w:rsidRPr="000E0A00">
        <w:rPr>
          <w:rFonts w:ascii="Trebuchet MS" w:hAnsi="Trebuchet MS"/>
          <w:b/>
          <w:lang w:val="es-MX"/>
        </w:rPr>
        <w:t>Disposiciones generales</w:t>
      </w:r>
    </w:p>
    <w:p w14:paraId="78B6F89D" w14:textId="77777777" w:rsidR="00D006E2" w:rsidRPr="000E0A00" w:rsidRDefault="00D006E2" w:rsidP="00D006E2">
      <w:pPr>
        <w:jc w:val="center"/>
        <w:rPr>
          <w:rFonts w:ascii="Trebuchet MS" w:hAnsi="Trebuchet MS"/>
          <w:b/>
          <w:lang w:val="es-MX"/>
        </w:rPr>
      </w:pPr>
    </w:p>
    <w:p w14:paraId="1E6C8743" w14:textId="77777777" w:rsidR="00D006E2" w:rsidRPr="000E0A00" w:rsidRDefault="00D006E2" w:rsidP="00D006E2">
      <w:pPr>
        <w:jc w:val="center"/>
        <w:rPr>
          <w:rFonts w:ascii="Trebuchet MS" w:hAnsi="Trebuchet MS"/>
          <w:b/>
          <w:lang w:val="es-MX"/>
        </w:rPr>
      </w:pPr>
    </w:p>
    <w:p w14:paraId="448DE24B"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1</w:t>
      </w:r>
    </w:p>
    <w:p w14:paraId="122F1FA1" w14:textId="77777777" w:rsidR="00D006E2" w:rsidRPr="000E0A00" w:rsidRDefault="00D006E2" w:rsidP="00D006E2">
      <w:pPr>
        <w:jc w:val="both"/>
        <w:rPr>
          <w:rFonts w:ascii="Trebuchet MS" w:hAnsi="Trebuchet MS"/>
          <w:b/>
          <w:lang w:val="es-MX"/>
        </w:rPr>
      </w:pPr>
    </w:p>
    <w:p w14:paraId="34DD28CC" w14:textId="77777777" w:rsidR="00D006E2" w:rsidRPr="000E0A00" w:rsidRDefault="00D006E2" w:rsidP="00D006E2">
      <w:pPr>
        <w:jc w:val="both"/>
        <w:rPr>
          <w:rFonts w:ascii="Trebuchet MS" w:hAnsi="Trebuchet MS"/>
          <w:lang w:val="es-MX"/>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lang w:val="es-MX"/>
        </w:rPr>
        <w:t xml:space="preserve">Las disposiciones de este </w:t>
      </w:r>
      <w:r w:rsidR="00523867" w:rsidRPr="000E0A00">
        <w:rPr>
          <w:rFonts w:ascii="Trebuchet MS" w:hAnsi="Trebuchet MS"/>
          <w:lang w:val="es-MX"/>
        </w:rPr>
        <w:t>r</w:t>
      </w:r>
      <w:r w:rsidRPr="000E0A00">
        <w:rPr>
          <w:rFonts w:ascii="Trebuchet MS" w:hAnsi="Trebuchet MS"/>
          <w:lang w:val="es-MX"/>
        </w:rPr>
        <w:t>eglamento son de orden público y de observancia general en el territorio del estado de Jalisco y tienen por objeto regular el procedimiento mediante el cual los institutos políticos informarán al Instituto Electoral y de Participación Ciudadana del Estado de Jalisco</w:t>
      </w:r>
      <w:r w:rsidR="00523867" w:rsidRPr="000E0A00">
        <w:rPr>
          <w:rFonts w:ascii="Trebuchet MS" w:hAnsi="Trebuchet MS"/>
          <w:lang w:val="es-MX"/>
        </w:rPr>
        <w:t xml:space="preserve"> (Instituto Electoral)</w:t>
      </w:r>
      <w:r w:rsidRPr="000E0A00">
        <w:rPr>
          <w:rFonts w:ascii="Trebuchet MS" w:hAnsi="Trebuchet MS"/>
          <w:lang w:val="es-MX"/>
        </w:rPr>
        <w:t xml:space="preserve">, así como reglamentar los preceptos del Código Electoral y de Participación Social del Estado de Jalisco, respecto de: </w:t>
      </w:r>
      <w:r w:rsidR="00523867" w:rsidRPr="000E0A00">
        <w:rPr>
          <w:rFonts w:ascii="Trebuchet MS" w:hAnsi="Trebuchet MS"/>
          <w:lang w:val="es-MX"/>
        </w:rPr>
        <w:t xml:space="preserve"> </w:t>
      </w:r>
    </w:p>
    <w:p w14:paraId="2372F4A0" w14:textId="77777777" w:rsidR="00D006E2" w:rsidRPr="000E0A00" w:rsidRDefault="00D006E2" w:rsidP="00D006E2">
      <w:pPr>
        <w:jc w:val="both"/>
        <w:rPr>
          <w:rFonts w:ascii="Trebuchet MS" w:hAnsi="Trebuchet MS"/>
          <w:lang w:val="es-MX"/>
        </w:rPr>
      </w:pPr>
    </w:p>
    <w:p w14:paraId="0C1F61CA" w14:textId="5994E400" w:rsidR="00D006E2" w:rsidRPr="000E0A00" w:rsidRDefault="00D006E2" w:rsidP="00D006E2">
      <w:pPr>
        <w:ind w:left="708"/>
        <w:jc w:val="both"/>
        <w:rPr>
          <w:rFonts w:ascii="Trebuchet MS" w:hAnsi="Trebuchet MS"/>
          <w:lang w:val="es-MX"/>
        </w:rPr>
      </w:pPr>
      <w:r w:rsidRPr="000E0A00">
        <w:rPr>
          <w:rFonts w:ascii="Trebuchet MS" w:hAnsi="Trebuchet MS"/>
          <w:lang w:val="es-MX"/>
        </w:rPr>
        <w:t>a) Las actividades de los aspirantes a candidaturas a cargos de elección popular o precandidaturas</w:t>
      </w:r>
      <w:r w:rsidR="009A5D4A" w:rsidRPr="000E0A00">
        <w:rPr>
          <w:rFonts w:ascii="Trebuchet MS" w:hAnsi="Trebuchet MS"/>
          <w:lang w:val="es-MX"/>
        </w:rPr>
        <w:t>.</w:t>
      </w:r>
      <w:r w:rsidRPr="000E0A00">
        <w:rPr>
          <w:rFonts w:ascii="Trebuchet MS" w:hAnsi="Trebuchet MS"/>
          <w:lang w:val="es-MX"/>
        </w:rPr>
        <w:t xml:space="preserve"> </w:t>
      </w:r>
    </w:p>
    <w:p w14:paraId="2AF736AF" w14:textId="77777777" w:rsidR="00D006E2" w:rsidRPr="000E0A00" w:rsidRDefault="00D006E2" w:rsidP="00D006E2">
      <w:pPr>
        <w:ind w:left="708"/>
        <w:jc w:val="both"/>
        <w:rPr>
          <w:rFonts w:ascii="Trebuchet MS" w:hAnsi="Trebuchet MS"/>
          <w:lang w:val="es-MX"/>
        </w:rPr>
      </w:pPr>
    </w:p>
    <w:p w14:paraId="68F9A92B" w14:textId="16C9DFA1" w:rsidR="00D006E2" w:rsidRPr="000E0A00" w:rsidRDefault="00D006E2" w:rsidP="00D006E2">
      <w:pPr>
        <w:ind w:left="708"/>
        <w:jc w:val="both"/>
        <w:rPr>
          <w:rFonts w:ascii="Trebuchet MS" w:hAnsi="Trebuchet MS"/>
          <w:lang w:val="es-MX"/>
        </w:rPr>
      </w:pPr>
      <w:r w:rsidRPr="000E0A00">
        <w:rPr>
          <w:rFonts w:ascii="Trebuchet MS" w:hAnsi="Trebuchet MS"/>
          <w:lang w:val="es-MX"/>
        </w:rPr>
        <w:t>b) Los procesos internos de selección de los candidatos; de los partidos políticos</w:t>
      </w:r>
      <w:r w:rsidR="009A5D4A" w:rsidRPr="000E0A00">
        <w:rPr>
          <w:rFonts w:ascii="Trebuchet MS" w:hAnsi="Trebuchet MS"/>
          <w:lang w:val="es-MX"/>
        </w:rPr>
        <w:t>.</w:t>
      </w:r>
    </w:p>
    <w:p w14:paraId="4CDBCF68" w14:textId="77777777" w:rsidR="00D006E2" w:rsidRPr="000E0A00" w:rsidRDefault="00D006E2" w:rsidP="00D006E2">
      <w:pPr>
        <w:jc w:val="both"/>
        <w:rPr>
          <w:rFonts w:ascii="Trebuchet MS" w:hAnsi="Trebuchet MS"/>
          <w:lang w:val="es-MX"/>
        </w:rPr>
      </w:pPr>
    </w:p>
    <w:p w14:paraId="27B09B21" w14:textId="77777777" w:rsidR="00D006E2" w:rsidRPr="000E0A00" w:rsidRDefault="00D006E2" w:rsidP="00D006E2">
      <w:pPr>
        <w:ind w:firstLine="708"/>
        <w:jc w:val="both"/>
        <w:rPr>
          <w:rFonts w:ascii="Trebuchet MS" w:hAnsi="Trebuchet MS"/>
          <w:lang w:val="es-MX"/>
        </w:rPr>
      </w:pPr>
      <w:r w:rsidRPr="000E0A00">
        <w:rPr>
          <w:rFonts w:ascii="Trebuchet MS" w:hAnsi="Trebuchet MS"/>
          <w:lang w:val="es-MX"/>
        </w:rPr>
        <w:t>c) Las precampañas electorales.</w:t>
      </w:r>
    </w:p>
    <w:p w14:paraId="3D3C0C5E" w14:textId="77777777" w:rsidR="00D006E2" w:rsidRPr="000E0A00" w:rsidRDefault="00D006E2" w:rsidP="00D006E2">
      <w:pPr>
        <w:jc w:val="both"/>
        <w:rPr>
          <w:rFonts w:ascii="Trebuchet MS" w:hAnsi="Trebuchet MS"/>
          <w:lang w:val="es-MX"/>
        </w:rPr>
      </w:pPr>
    </w:p>
    <w:p w14:paraId="43B341A6"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2</w:t>
      </w:r>
    </w:p>
    <w:p w14:paraId="4EEA4C6E" w14:textId="77777777" w:rsidR="00D006E2" w:rsidRPr="000E0A00" w:rsidRDefault="00D006E2" w:rsidP="00D006E2">
      <w:pPr>
        <w:autoSpaceDE w:val="0"/>
        <w:jc w:val="both"/>
        <w:rPr>
          <w:rFonts w:ascii="Trebuchet MS" w:hAnsi="Trebuchet MS"/>
          <w:b/>
          <w:lang w:val="es-MX"/>
        </w:rPr>
      </w:pPr>
    </w:p>
    <w:p w14:paraId="0D82EA9C" w14:textId="3FFBBCE6" w:rsidR="00D006E2" w:rsidRPr="000E0A00" w:rsidRDefault="00D006E2" w:rsidP="00D006E2">
      <w:pPr>
        <w:jc w:val="both"/>
        <w:rPr>
          <w:rFonts w:ascii="Trebuchet MS" w:hAnsi="Trebuchet MS" w:cs="Tahoma"/>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cs="Tahoma"/>
        </w:rPr>
        <w:t>La interpretación del presente reglamento se hará conforme a los criterios gramatical, sistemático y funcional, atendiendo a lo dispuesto en el Código, así como las disposiciones emitidas por el Instituto Nacional Electoral</w:t>
      </w:r>
      <w:r w:rsidR="009A5D4A" w:rsidRPr="000E0A00">
        <w:rPr>
          <w:rFonts w:ascii="Trebuchet MS" w:hAnsi="Trebuchet MS" w:cs="Tahoma"/>
        </w:rPr>
        <w:t xml:space="preserve"> (INE)</w:t>
      </w:r>
      <w:r w:rsidRPr="000E0A00">
        <w:rPr>
          <w:rFonts w:ascii="Trebuchet MS" w:hAnsi="Trebuchet MS" w:cs="Tahoma"/>
        </w:rPr>
        <w:t>.</w:t>
      </w:r>
    </w:p>
    <w:p w14:paraId="2CB40A54" w14:textId="77777777" w:rsidR="00D006E2" w:rsidRPr="000E0A00" w:rsidRDefault="00D006E2" w:rsidP="00D006E2">
      <w:pPr>
        <w:jc w:val="both"/>
        <w:rPr>
          <w:rFonts w:ascii="Trebuchet MS" w:hAnsi="Trebuchet MS"/>
        </w:rPr>
      </w:pPr>
    </w:p>
    <w:p w14:paraId="11FD0937"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3</w:t>
      </w:r>
    </w:p>
    <w:p w14:paraId="33574E82" w14:textId="77777777" w:rsidR="00D006E2" w:rsidRPr="000E0A00" w:rsidRDefault="00D006E2" w:rsidP="00D006E2">
      <w:pPr>
        <w:jc w:val="both"/>
        <w:rPr>
          <w:rFonts w:ascii="Trebuchet MS" w:hAnsi="Trebuchet MS"/>
          <w:b/>
          <w:lang w:val="es-MX"/>
        </w:rPr>
      </w:pPr>
    </w:p>
    <w:p w14:paraId="376BAEAA" w14:textId="77777777" w:rsidR="00D006E2" w:rsidRPr="000E0A00" w:rsidRDefault="00D006E2" w:rsidP="00D006E2">
      <w:pPr>
        <w:jc w:val="both"/>
        <w:rPr>
          <w:rFonts w:ascii="Trebuchet MS" w:hAnsi="Trebuchet MS"/>
          <w:lang w:val="es-MX"/>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lang w:val="es-MX"/>
        </w:rPr>
        <w:t>Para los efectos del presente Reglamento se entenderá por:</w:t>
      </w:r>
    </w:p>
    <w:p w14:paraId="391876A4" w14:textId="77777777" w:rsidR="00D006E2" w:rsidRPr="000E0A00" w:rsidRDefault="00D006E2" w:rsidP="00D006E2">
      <w:pPr>
        <w:jc w:val="both"/>
        <w:rPr>
          <w:rFonts w:ascii="Trebuchet MS" w:hAnsi="Trebuchet MS"/>
          <w:lang w:val="es-MX"/>
        </w:rPr>
      </w:pPr>
    </w:p>
    <w:p w14:paraId="7A8C44F8" w14:textId="77777777" w:rsidR="00D006E2" w:rsidRPr="000E0A00" w:rsidRDefault="00D006E2" w:rsidP="00D006E2">
      <w:pPr>
        <w:jc w:val="both"/>
        <w:rPr>
          <w:rFonts w:ascii="Trebuchet MS" w:hAnsi="Trebuchet MS"/>
          <w:lang w:val="es-MX"/>
        </w:rPr>
      </w:pPr>
    </w:p>
    <w:p w14:paraId="49627242" w14:textId="77777777" w:rsidR="00A63B87" w:rsidRPr="000E0A00" w:rsidRDefault="00A63B87" w:rsidP="00A63B87">
      <w:pPr>
        <w:ind w:left="1425"/>
        <w:jc w:val="both"/>
        <w:rPr>
          <w:rFonts w:ascii="Trebuchet MS" w:hAnsi="Trebuchet MS"/>
          <w:lang w:val="es-MX"/>
        </w:rPr>
      </w:pPr>
    </w:p>
    <w:p w14:paraId="71D73049" w14:textId="6E2D724A" w:rsidR="00D006E2" w:rsidRPr="000E0A00" w:rsidRDefault="00D006E2" w:rsidP="00D006E2">
      <w:pPr>
        <w:numPr>
          <w:ilvl w:val="0"/>
          <w:numId w:val="1"/>
        </w:numPr>
        <w:jc w:val="both"/>
        <w:rPr>
          <w:rFonts w:ascii="Trebuchet MS" w:hAnsi="Trebuchet MS"/>
          <w:lang w:val="es-MX"/>
        </w:rPr>
      </w:pPr>
      <w:r w:rsidRPr="000E0A00">
        <w:rPr>
          <w:rFonts w:ascii="Trebuchet MS" w:hAnsi="Trebuchet MS"/>
          <w:b/>
          <w:lang w:val="es-MX"/>
        </w:rPr>
        <w:t>Código:</w:t>
      </w:r>
      <w:r w:rsidRPr="000E0A00">
        <w:rPr>
          <w:rFonts w:ascii="Trebuchet MS" w:hAnsi="Trebuchet MS"/>
          <w:lang w:val="es-MX"/>
        </w:rPr>
        <w:t xml:space="preserve"> el Código Electoral y de Participación Social del Estado de Jalisco</w:t>
      </w:r>
      <w:r w:rsidR="00072267" w:rsidRPr="000E0A00">
        <w:rPr>
          <w:rFonts w:ascii="Trebuchet MS" w:hAnsi="Trebuchet MS"/>
          <w:lang w:val="es-MX"/>
        </w:rPr>
        <w:t>.</w:t>
      </w:r>
    </w:p>
    <w:p w14:paraId="140E096B" w14:textId="77777777" w:rsidR="00985164" w:rsidRPr="000E0A00" w:rsidRDefault="00985164" w:rsidP="00985164">
      <w:pPr>
        <w:jc w:val="both"/>
        <w:rPr>
          <w:rFonts w:ascii="Trebuchet MS" w:hAnsi="Trebuchet MS"/>
          <w:b/>
          <w:lang w:val="es-MX"/>
        </w:rPr>
      </w:pPr>
    </w:p>
    <w:p w14:paraId="2D02EB17" w14:textId="53395751" w:rsidR="00A63B87" w:rsidRPr="000E0A00" w:rsidRDefault="00A63B87" w:rsidP="00985164">
      <w:pPr>
        <w:numPr>
          <w:ilvl w:val="0"/>
          <w:numId w:val="1"/>
        </w:numPr>
        <w:jc w:val="both"/>
        <w:rPr>
          <w:rFonts w:ascii="Trebuchet MS" w:hAnsi="Trebuchet MS"/>
          <w:lang w:val="es-MX"/>
        </w:rPr>
      </w:pPr>
      <w:r w:rsidRPr="000E0A00">
        <w:rPr>
          <w:rFonts w:ascii="Trebuchet MS" w:hAnsi="Trebuchet MS"/>
          <w:b/>
          <w:lang w:val="es-MX"/>
        </w:rPr>
        <w:t>Consejero electoral:</w:t>
      </w:r>
      <w:r w:rsidR="00985164" w:rsidRPr="000E0A00">
        <w:rPr>
          <w:rFonts w:ascii="Trebuchet MS" w:eastAsia="Calibri" w:hAnsi="Trebuchet MS" w:cs="Arial"/>
        </w:rPr>
        <w:t xml:space="preserve"> las y los consejeros electorales del Consejo Distrital o Municipal Electoral.</w:t>
      </w:r>
    </w:p>
    <w:p w14:paraId="20867806" w14:textId="77777777" w:rsidR="00715184" w:rsidRPr="000E0A00" w:rsidRDefault="00715184" w:rsidP="00715184">
      <w:pPr>
        <w:jc w:val="both"/>
        <w:rPr>
          <w:rFonts w:ascii="Trebuchet MS" w:hAnsi="Trebuchet MS"/>
          <w:lang w:val="es-MX"/>
        </w:rPr>
      </w:pPr>
    </w:p>
    <w:p w14:paraId="60867013" w14:textId="77777777" w:rsidR="00715184" w:rsidRPr="000E0A00" w:rsidRDefault="00715184" w:rsidP="00715184">
      <w:pPr>
        <w:ind w:left="1425"/>
        <w:jc w:val="both"/>
        <w:rPr>
          <w:rFonts w:ascii="Trebuchet MS" w:hAnsi="Trebuchet MS"/>
          <w:lang w:val="es-MX"/>
        </w:rPr>
      </w:pPr>
    </w:p>
    <w:p w14:paraId="3BC7A3CB" w14:textId="77777777" w:rsidR="00715184" w:rsidRPr="000E0A00" w:rsidRDefault="00715184" w:rsidP="00715184">
      <w:pPr>
        <w:numPr>
          <w:ilvl w:val="0"/>
          <w:numId w:val="1"/>
        </w:numPr>
        <w:jc w:val="both"/>
        <w:rPr>
          <w:rFonts w:ascii="Trebuchet MS" w:hAnsi="Trebuchet MS"/>
          <w:lang w:val="es-MX"/>
        </w:rPr>
      </w:pPr>
      <w:r w:rsidRPr="000E0A00">
        <w:rPr>
          <w:rFonts w:ascii="Trebuchet MS" w:hAnsi="Trebuchet MS"/>
          <w:b/>
          <w:lang w:val="es-MX"/>
        </w:rPr>
        <w:lastRenderedPageBreak/>
        <w:t>Consejero presidente:</w:t>
      </w:r>
      <w:r w:rsidRPr="000E0A00">
        <w:rPr>
          <w:rFonts w:ascii="Trebuchet MS" w:eastAsia="Calibri" w:hAnsi="Trebuchet MS" w:cs="Arial"/>
        </w:rPr>
        <w:t xml:space="preserve"> el o la titular de la Presidencia del Consejo General del Instituto Electoral.</w:t>
      </w:r>
    </w:p>
    <w:p w14:paraId="2BE6D34F" w14:textId="77777777" w:rsidR="00A63B87" w:rsidRPr="000E0A00" w:rsidRDefault="00A63B87" w:rsidP="00A63B87">
      <w:pPr>
        <w:jc w:val="both"/>
        <w:rPr>
          <w:rFonts w:ascii="Trebuchet MS" w:hAnsi="Trebuchet MS"/>
          <w:b/>
          <w:lang w:val="es-MX"/>
        </w:rPr>
      </w:pPr>
    </w:p>
    <w:p w14:paraId="67645B53" w14:textId="64019610" w:rsidR="00D006E2" w:rsidRPr="000E0A00" w:rsidRDefault="00D006E2" w:rsidP="00D006E2">
      <w:pPr>
        <w:numPr>
          <w:ilvl w:val="0"/>
          <w:numId w:val="1"/>
        </w:numPr>
        <w:jc w:val="both"/>
        <w:rPr>
          <w:rFonts w:ascii="Trebuchet MS" w:hAnsi="Trebuchet MS"/>
          <w:lang w:val="es-MX"/>
        </w:rPr>
      </w:pPr>
      <w:r w:rsidRPr="000E0A00">
        <w:rPr>
          <w:rFonts w:ascii="Trebuchet MS" w:hAnsi="Trebuchet MS"/>
          <w:b/>
          <w:lang w:val="es-MX"/>
        </w:rPr>
        <w:t>Consejo General:</w:t>
      </w:r>
      <w:r w:rsidRPr="000E0A00">
        <w:rPr>
          <w:rFonts w:ascii="Trebuchet MS" w:hAnsi="Trebuchet MS"/>
          <w:lang w:val="es-MX"/>
        </w:rPr>
        <w:t xml:space="preserve"> el Consejo General del Instituto Electoral y de Participación Ciudadana del Estado de Jalisco</w:t>
      </w:r>
      <w:r w:rsidR="00072267" w:rsidRPr="000E0A00">
        <w:rPr>
          <w:rFonts w:ascii="Trebuchet MS" w:hAnsi="Trebuchet MS"/>
          <w:lang w:val="es-MX"/>
        </w:rPr>
        <w:t>.</w:t>
      </w:r>
    </w:p>
    <w:p w14:paraId="10107445" w14:textId="77777777" w:rsidR="00D006E2" w:rsidRPr="000E0A00" w:rsidRDefault="00D006E2" w:rsidP="00D006E2">
      <w:pPr>
        <w:ind w:left="1425"/>
        <w:jc w:val="both"/>
        <w:rPr>
          <w:rFonts w:ascii="Trebuchet MS" w:hAnsi="Trebuchet MS"/>
          <w:lang w:val="es-MX"/>
        </w:rPr>
      </w:pPr>
    </w:p>
    <w:p w14:paraId="62492ADE" w14:textId="30D98F41" w:rsidR="00D006E2" w:rsidRPr="000E0A00" w:rsidRDefault="00D006E2" w:rsidP="00D006E2">
      <w:pPr>
        <w:numPr>
          <w:ilvl w:val="0"/>
          <w:numId w:val="1"/>
        </w:numPr>
        <w:jc w:val="both"/>
        <w:rPr>
          <w:rFonts w:ascii="Trebuchet MS" w:hAnsi="Trebuchet MS"/>
          <w:lang w:val="es-MX"/>
        </w:rPr>
      </w:pPr>
      <w:r w:rsidRPr="000E0A00">
        <w:rPr>
          <w:rFonts w:ascii="Trebuchet MS" w:hAnsi="Trebuchet MS"/>
          <w:b/>
          <w:lang w:val="es-MX"/>
        </w:rPr>
        <w:t xml:space="preserve">Instituto: </w:t>
      </w:r>
      <w:r w:rsidRPr="000E0A00">
        <w:rPr>
          <w:rFonts w:ascii="Trebuchet MS" w:hAnsi="Trebuchet MS"/>
          <w:lang w:val="es-MX"/>
        </w:rPr>
        <w:t>el Instituto Electoral y de Participación Ciudadana del Estado de Jalisco</w:t>
      </w:r>
      <w:r w:rsidR="00072267" w:rsidRPr="000E0A00">
        <w:rPr>
          <w:rFonts w:ascii="Trebuchet MS" w:hAnsi="Trebuchet MS"/>
          <w:lang w:val="es-MX"/>
        </w:rPr>
        <w:t>.</w:t>
      </w:r>
    </w:p>
    <w:p w14:paraId="2BFE8282" w14:textId="77777777" w:rsidR="00D006E2" w:rsidRPr="000E0A00" w:rsidRDefault="00D006E2" w:rsidP="00D006E2">
      <w:pPr>
        <w:pStyle w:val="Prrafodelista"/>
        <w:rPr>
          <w:rFonts w:ascii="Trebuchet MS" w:hAnsi="Trebuchet MS"/>
          <w:lang w:val="es-MX"/>
        </w:rPr>
      </w:pPr>
    </w:p>
    <w:p w14:paraId="683BED59" w14:textId="77777777" w:rsidR="000A0883" w:rsidRPr="000E0A00" w:rsidRDefault="00D006E2" w:rsidP="000A0883">
      <w:pPr>
        <w:numPr>
          <w:ilvl w:val="0"/>
          <w:numId w:val="1"/>
        </w:numPr>
        <w:jc w:val="both"/>
        <w:rPr>
          <w:rFonts w:ascii="Trebuchet MS" w:hAnsi="Trebuchet MS" w:cs="Arial"/>
          <w:lang w:val="es-MX"/>
        </w:rPr>
      </w:pPr>
      <w:r w:rsidRPr="000E0A00">
        <w:rPr>
          <w:rFonts w:ascii="Trebuchet MS" w:hAnsi="Trebuchet MS"/>
          <w:b/>
          <w:lang w:val="es-MX"/>
        </w:rPr>
        <w:t xml:space="preserve">Reglamento: </w:t>
      </w:r>
      <w:r w:rsidRPr="000E0A00">
        <w:rPr>
          <w:rFonts w:ascii="Trebuchet MS" w:hAnsi="Trebuchet MS"/>
          <w:lang w:val="es-MX"/>
        </w:rPr>
        <w:t xml:space="preserve">el Reglamento de los Procesos Internos de Selección de las y los candidatos y precampañas del Instituto Electoral y de Participación Ciudadana del Estado de Jalisco; </w:t>
      </w:r>
    </w:p>
    <w:p w14:paraId="40A598AC" w14:textId="77777777" w:rsidR="000A0883" w:rsidRPr="000E0A00" w:rsidRDefault="000A0883" w:rsidP="000A0883">
      <w:pPr>
        <w:jc w:val="both"/>
        <w:rPr>
          <w:rFonts w:ascii="Trebuchet MS" w:eastAsia="Calibri" w:hAnsi="Trebuchet MS" w:cs="Arial"/>
        </w:rPr>
      </w:pPr>
    </w:p>
    <w:p w14:paraId="34CE8A94" w14:textId="250496F2" w:rsidR="000A0883" w:rsidRPr="000E0A00" w:rsidRDefault="000A0883" w:rsidP="000A0883">
      <w:pPr>
        <w:numPr>
          <w:ilvl w:val="0"/>
          <w:numId w:val="1"/>
        </w:numPr>
        <w:jc w:val="both"/>
        <w:rPr>
          <w:rFonts w:ascii="Trebuchet MS" w:hAnsi="Trebuchet MS" w:cs="Arial"/>
          <w:lang w:val="es-MX"/>
        </w:rPr>
      </w:pPr>
      <w:r w:rsidRPr="000E0A00">
        <w:rPr>
          <w:rFonts w:ascii="Trebuchet MS" w:eastAsia="Calibri" w:hAnsi="Trebuchet MS" w:cs="Arial"/>
          <w:b/>
        </w:rPr>
        <w:t>Secretario:</w:t>
      </w:r>
      <w:r w:rsidRPr="000E0A00">
        <w:rPr>
          <w:rFonts w:ascii="Trebuchet MS" w:eastAsia="Calibri" w:hAnsi="Trebuchet MS" w:cs="Arial"/>
        </w:rPr>
        <w:t xml:space="preserve"> el o </w:t>
      </w:r>
      <w:r w:rsidRPr="000E0A00">
        <w:rPr>
          <w:rFonts w:ascii="Trebuchet MS" w:eastAsia="Calibri" w:hAnsi="Trebuchet MS"/>
        </w:rPr>
        <w:t xml:space="preserve">la </w:t>
      </w:r>
      <w:r w:rsidRPr="000E0A00">
        <w:rPr>
          <w:rFonts w:ascii="Trebuchet MS" w:eastAsia="Calibri" w:hAnsi="Trebuchet MS" w:cs="Arial"/>
        </w:rPr>
        <w:t>titular de la Secretaría Ejecutiva del Instituto Electoral.</w:t>
      </w:r>
    </w:p>
    <w:p w14:paraId="1FECB7B9" w14:textId="77777777" w:rsidR="000A0883" w:rsidRPr="000E0A00" w:rsidRDefault="000A0883" w:rsidP="000A0883">
      <w:pPr>
        <w:jc w:val="both"/>
        <w:rPr>
          <w:rFonts w:ascii="Trebuchet MS" w:hAnsi="Trebuchet MS" w:cs="Arial"/>
          <w:lang w:val="es-MX"/>
        </w:rPr>
      </w:pPr>
    </w:p>
    <w:p w14:paraId="3C1F82E1" w14:textId="77777777" w:rsidR="000A0883" w:rsidRPr="000E0A00" w:rsidRDefault="000A0883" w:rsidP="000A0883">
      <w:pPr>
        <w:ind w:left="1425"/>
        <w:jc w:val="both"/>
        <w:rPr>
          <w:rFonts w:ascii="Trebuchet MS" w:hAnsi="Trebuchet MS" w:cs="Arial"/>
          <w:lang w:val="es-MX"/>
        </w:rPr>
      </w:pPr>
    </w:p>
    <w:p w14:paraId="29E40219" w14:textId="77777777" w:rsidR="00D006E2" w:rsidRPr="000E0A00" w:rsidRDefault="00D006E2" w:rsidP="00D006E2">
      <w:pPr>
        <w:jc w:val="center"/>
        <w:rPr>
          <w:rFonts w:ascii="Trebuchet MS" w:hAnsi="Trebuchet MS"/>
          <w:b/>
          <w:lang w:val="es-MX"/>
        </w:rPr>
      </w:pPr>
      <w:r w:rsidRPr="000E0A00">
        <w:rPr>
          <w:rFonts w:ascii="Trebuchet MS" w:hAnsi="Trebuchet MS"/>
          <w:b/>
          <w:lang w:val="es-MX"/>
        </w:rPr>
        <w:t>Capítulo II</w:t>
      </w:r>
    </w:p>
    <w:p w14:paraId="2B315146" w14:textId="77777777" w:rsidR="00D006E2" w:rsidRPr="000E0A00" w:rsidRDefault="00D006E2" w:rsidP="00D006E2">
      <w:pPr>
        <w:jc w:val="center"/>
        <w:rPr>
          <w:rFonts w:ascii="Trebuchet MS" w:hAnsi="Trebuchet MS"/>
          <w:b/>
          <w:lang w:val="es-MX"/>
        </w:rPr>
      </w:pPr>
      <w:r w:rsidRPr="000E0A00">
        <w:rPr>
          <w:rFonts w:ascii="Trebuchet MS" w:hAnsi="Trebuchet MS"/>
          <w:b/>
          <w:lang w:val="es-MX"/>
        </w:rPr>
        <w:t xml:space="preserve">Del registro de precandidaturas </w:t>
      </w:r>
    </w:p>
    <w:p w14:paraId="1E07BC41"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4</w:t>
      </w:r>
    </w:p>
    <w:p w14:paraId="29CDCA94" w14:textId="77777777" w:rsidR="00D006E2" w:rsidRPr="000E0A00" w:rsidRDefault="00D006E2" w:rsidP="00D006E2">
      <w:pPr>
        <w:jc w:val="both"/>
        <w:rPr>
          <w:rFonts w:ascii="Trebuchet MS" w:hAnsi="Trebuchet MS"/>
          <w:lang w:val="es-MX"/>
        </w:rPr>
      </w:pPr>
    </w:p>
    <w:p w14:paraId="56E155BF" w14:textId="3A4C24A6" w:rsidR="00D006E2" w:rsidRPr="000E0A00" w:rsidRDefault="00D006E2" w:rsidP="00D006E2">
      <w:pPr>
        <w:pStyle w:val="Contenidodelatabla"/>
        <w:autoSpaceDE w:val="0"/>
        <w:jc w:val="both"/>
        <w:rPr>
          <w:rFonts w:ascii="Trebuchet MS" w:hAnsi="Trebuchet MS"/>
        </w:rPr>
      </w:pPr>
      <w:r w:rsidRPr="000E0A00">
        <w:rPr>
          <w:rFonts w:ascii="Trebuchet MS" w:hAnsi="Trebuchet MS"/>
          <w:lang w:val="es-MX"/>
        </w:rPr>
        <w:t>1.</w:t>
      </w:r>
      <w:r w:rsidRPr="000E0A00">
        <w:rPr>
          <w:rFonts w:ascii="Trebuchet MS" w:hAnsi="Trebuchet MS"/>
        </w:rPr>
        <w:t xml:space="preserve"> Recibida la determinación del procedimiento aplicable para la selección de sus candidatas y candidatos a cargos de elección popular, el </w:t>
      </w:r>
      <w:r w:rsidR="00AE4E6F" w:rsidRPr="000E0A00">
        <w:rPr>
          <w:rFonts w:ascii="Trebuchet MS" w:hAnsi="Trebuchet MS"/>
        </w:rPr>
        <w:t>secret</w:t>
      </w:r>
      <w:r w:rsidR="00F44805" w:rsidRPr="000E0A00">
        <w:rPr>
          <w:rFonts w:ascii="Trebuchet MS" w:hAnsi="Trebuchet MS"/>
        </w:rPr>
        <w:t>ario</w:t>
      </w:r>
      <w:r w:rsidRPr="000E0A00">
        <w:rPr>
          <w:rFonts w:ascii="Trebuchet MS" w:hAnsi="Trebuchet MS"/>
        </w:rPr>
        <w:t xml:space="preserve"> procederá a verificar si cumple con los requisitos señalados en el artículo 229, párrafo 2 del Código. </w:t>
      </w:r>
    </w:p>
    <w:p w14:paraId="1DA37341" w14:textId="77777777" w:rsidR="00D006E2" w:rsidRPr="000E0A00" w:rsidRDefault="00D006E2" w:rsidP="00D006E2">
      <w:pPr>
        <w:jc w:val="both"/>
        <w:rPr>
          <w:rFonts w:ascii="Trebuchet MS" w:hAnsi="Trebuchet MS"/>
          <w:lang w:val="es-MX"/>
        </w:rPr>
      </w:pPr>
    </w:p>
    <w:p w14:paraId="2289498D" w14:textId="77777777" w:rsidR="00D006E2" w:rsidRPr="000E0A00" w:rsidRDefault="00D006E2" w:rsidP="00D006E2">
      <w:pPr>
        <w:jc w:val="both"/>
        <w:rPr>
          <w:rFonts w:ascii="Trebuchet MS" w:hAnsi="Trebuchet MS"/>
          <w:lang w:val="es-MX"/>
        </w:rPr>
      </w:pPr>
      <w:r w:rsidRPr="000E0A00">
        <w:rPr>
          <w:rFonts w:ascii="Trebuchet MS" w:hAnsi="Trebuchet MS"/>
          <w:lang w:val="es-MX"/>
        </w:rPr>
        <w:t xml:space="preserve">En caso de incumplir con alguno de ellos, dictará un acuerdo en el que prevenga al partido político promovente para que, dentro del término de cuarenta y ocho horas siguientes a que se practique la notificación respectiva, subsane la irregularidad u omisión detectada, bajo el apercibimiento que en caso de no hacerlo, se le iniciará el procedimiento sancionador correspondiente por incumplimiento a las obligaciones del Código. </w:t>
      </w:r>
    </w:p>
    <w:p w14:paraId="07D75DE6" w14:textId="77777777" w:rsidR="00D006E2" w:rsidRPr="000E0A00" w:rsidRDefault="00D006E2" w:rsidP="00D006E2">
      <w:pPr>
        <w:jc w:val="both"/>
        <w:rPr>
          <w:rFonts w:ascii="Trebuchet MS" w:hAnsi="Trebuchet MS"/>
          <w:lang w:val="es-MX"/>
        </w:rPr>
      </w:pPr>
      <w:r w:rsidRPr="000E0A00">
        <w:rPr>
          <w:rFonts w:ascii="Trebuchet MS" w:hAnsi="Trebuchet MS"/>
          <w:lang w:val="es-MX"/>
        </w:rPr>
        <w:t xml:space="preserve"> </w:t>
      </w:r>
    </w:p>
    <w:p w14:paraId="6C39F274" w14:textId="77777777" w:rsidR="00D006E2" w:rsidRPr="000E0A00" w:rsidRDefault="00D006E2" w:rsidP="00D006E2">
      <w:pPr>
        <w:jc w:val="both"/>
        <w:rPr>
          <w:rFonts w:ascii="Trebuchet MS" w:hAnsi="Trebuchet MS"/>
          <w:lang w:val="es-MX"/>
        </w:rPr>
      </w:pPr>
      <w:r w:rsidRPr="000E0A00">
        <w:rPr>
          <w:rFonts w:ascii="Trebuchet MS" w:hAnsi="Trebuchet MS"/>
          <w:lang w:val="es-MX"/>
        </w:rPr>
        <w:t xml:space="preserve">2. Una vez que se tengan por cumplidos los requisitos de ley, </w:t>
      </w:r>
      <w:r w:rsidRPr="000E0A00">
        <w:rPr>
          <w:rFonts w:ascii="Trebuchet MS" w:hAnsi="Trebuchet MS"/>
        </w:rPr>
        <w:t>el o la titular de la Secretaría Ejecutiva</w:t>
      </w:r>
      <w:r w:rsidRPr="000E0A00">
        <w:rPr>
          <w:rFonts w:ascii="Trebuchet MS" w:hAnsi="Trebuchet MS"/>
          <w:bCs/>
          <w:lang w:val="es-MX"/>
        </w:rPr>
        <w:t xml:space="preserve"> </w:t>
      </w:r>
      <w:r w:rsidRPr="000E0A00">
        <w:rPr>
          <w:rFonts w:ascii="Trebuchet MS" w:hAnsi="Trebuchet MS"/>
          <w:lang w:val="es-MX"/>
        </w:rPr>
        <w:t>dictará acuerdo haciendo constar dicho cumplimiento, e informará al Consejo General.</w:t>
      </w:r>
    </w:p>
    <w:p w14:paraId="06174B4C" w14:textId="77777777" w:rsidR="00D006E2" w:rsidRPr="000E0A00" w:rsidRDefault="00D006E2" w:rsidP="00D006E2">
      <w:pPr>
        <w:jc w:val="both"/>
        <w:rPr>
          <w:rFonts w:ascii="Trebuchet MS" w:hAnsi="Trebuchet MS"/>
          <w:lang w:val="es-MX"/>
        </w:rPr>
      </w:pPr>
    </w:p>
    <w:p w14:paraId="46B05F87"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5</w:t>
      </w:r>
    </w:p>
    <w:p w14:paraId="774D8B5E" w14:textId="77777777" w:rsidR="00D006E2" w:rsidRPr="000E0A00" w:rsidRDefault="00D006E2" w:rsidP="00D006E2">
      <w:pPr>
        <w:jc w:val="both"/>
        <w:rPr>
          <w:rFonts w:ascii="Trebuchet MS" w:hAnsi="Trebuchet MS"/>
          <w:b/>
          <w:lang w:val="es-MX"/>
        </w:rPr>
      </w:pPr>
    </w:p>
    <w:p w14:paraId="74E8805E" w14:textId="77777777" w:rsidR="00D006E2" w:rsidRPr="000E0A00" w:rsidRDefault="00D006E2" w:rsidP="00D006E2">
      <w:pPr>
        <w:jc w:val="both"/>
        <w:rPr>
          <w:rFonts w:ascii="Trebuchet MS" w:hAnsi="Trebuchet MS"/>
          <w:lang w:val="es-MX"/>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lang w:val="es-MX"/>
        </w:rPr>
        <w:t>Los partidos políticos deberán capturar la información de sus precandidatos y candidatos en el Sistema Nacional de Registro del Instituto Nacional Electoral.</w:t>
      </w:r>
    </w:p>
    <w:p w14:paraId="169193A8" w14:textId="77777777" w:rsidR="00D006E2" w:rsidRPr="000E0A00" w:rsidRDefault="00D006E2" w:rsidP="00D006E2">
      <w:pPr>
        <w:jc w:val="both"/>
        <w:rPr>
          <w:rFonts w:ascii="Trebuchet MS" w:hAnsi="Trebuchet MS"/>
          <w:lang w:val="es-MX"/>
        </w:rPr>
      </w:pPr>
    </w:p>
    <w:p w14:paraId="69DA5118" w14:textId="2CD45D54" w:rsidR="00D006E2" w:rsidRPr="000E0A00" w:rsidRDefault="00D006E2" w:rsidP="00D006E2">
      <w:pPr>
        <w:jc w:val="both"/>
        <w:rPr>
          <w:rFonts w:ascii="Trebuchet MS" w:hAnsi="Trebuchet MS"/>
          <w:lang w:val="es-MX"/>
        </w:rPr>
      </w:pPr>
      <w:r w:rsidRPr="000E0A00">
        <w:rPr>
          <w:rFonts w:ascii="Trebuchet MS" w:hAnsi="Trebuchet MS"/>
          <w:lang w:val="es-MX"/>
        </w:rPr>
        <w:t>2. Cada partido político, dentro de las setenta y dos horas siguientes de haber aprobado el registro de precandidatos, presentará el formato único de solicitud generado por el SNR al Instituto</w:t>
      </w:r>
      <w:r w:rsidR="00EA4073" w:rsidRPr="000E0A00">
        <w:rPr>
          <w:rFonts w:ascii="Trebuchet MS" w:hAnsi="Trebuchet MS"/>
          <w:lang w:val="es-MX"/>
        </w:rPr>
        <w:t xml:space="preserve"> Electoral</w:t>
      </w:r>
      <w:r w:rsidRPr="000E0A00">
        <w:rPr>
          <w:rFonts w:ascii="Trebuchet MS" w:hAnsi="Trebuchet MS"/>
          <w:lang w:val="es-MX"/>
        </w:rPr>
        <w:t>, el cual deberán contener:</w:t>
      </w:r>
    </w:p>
    <w:p w14:paraId="77660757" w14:textId="77777777" w:rsidR="00D006E2" w:rsidRPr="000E0A00" w:rsidRDefault="00D006E2" w:rsidP="00D006E2">
      <w:pPr>
        <w:jc w:val="both"/>
        <w:rPr>
          <w:rFonts w:ascii="Trebuchet MS" w:hAnsi="Trebuchet MS"/>
          <w:lang w:val="es-MX"/>
        </w:rPr>
      </w:pPr>
    </w:p>
    <w:p w14:paraId="20349DF4" w14:textId="169ADE0A" w:rsidR="00D006E2" w:rsidRPr="000E0A00" w:rsidRDefault="00D006E2" w:rsidP="00D006E2">
      <w:pPr>
        <w:pStyle w:val="Prrafodelista"/>
        <w:numPr>
          <w:ilvl w:val="0"/>
          <w:numId w:val="2"/>
        </w:numPr>
        <w:rPr>
          <w:rFonts w:ascii="Trebuchet MS" w:hAnsi="Trebuchet MS"/>
          <w:lang w:val="es-MX"/>
        </w:rPr>
      </w:pPr>
      <w:r w:rsidRPr="000E0A00">
        <w:rPr>
          <w:rFonts w:ascii="Trebuchet MS" w:hAnsi="Trebuchet MS"/>
          <w:lang w:val="es-MX"/>
        </w:rPr>
        <w:lastRenderedPageBreak/>
        <w:t xml:space="preserve">Nombre y firma de la o el representante del partido político ante el Instituto </w:t>
      </w:r>
      <w:r w:rsidR="00EA4073" w:rsidRPr="000E0A00">
        <w:rPr>
          <w:rFonts w:ascii="Trebuchet MS" w:hAnsi="Trebuchet MS"/>
          <w:lang w:val="es-MX"/>
        </w:rPr>
        <w:t>Electoral.</w:t>
      </w:r>
    </w:p>
    <w:p w14:paraId="1D9C4B2C" w14:textId="77777777" w:rsidR="00D006E2" w:rsidRPr="000E0A00" w:rsidRDefault="00D006E2" w:rsidP="00D006E2">
      <w:pPr>
        <w:pStyle w:val="Prrafodelista"/>
        <w:numPr>
          <w:ilvl w:val="0"/>
          <w:numId w:val="2"/>
        </w:numPr>
        <w:jc w:val="both"/>
        <w:rPr>
          <w:rFonts w:ascii="Trebuchet MS" w:hAnsi="Trebuchet MS"/>
          <w:lang w:val="es-MX"/>
        </w:rPr>
      </w:pPr>
      <w:r w:rsidRPr="000E0A00">
        <w:rPr>
          <w:rFonts w:ascii="Trebuchet MS" w:hAnsi="Trebuchet MS"/>
          <w:lang w:val="es-MX"/>
        </w:rPr>
        <w:t>Copia certificada de la constancia expedida por el partido político que acredite a sus precandidatas y precandidatos.</w:t>
      </w:r>
    </w:p>
    <w:p w14:paraId="0FFC8CF0" w14:textId="77777777" w:rsidR="00D006E2" w:rsidRPr="000E0A00" w:rsidRDefault="00D006E2" w:rsidP="00D006E2">
      <w:pPr>
        <w:jc w:val="both"/>
        <w:rPr>
          <w:rFonts w:ascii="Trebuchet MS" w:hAnsi="Trebuchet MS"/>
          <w:lang w:val="es-MX"/>
        </w:rPr>
      </w:pPr>
    </w:p>
    <w:p w14:paraId="66B77E45" w14:textId="77777777" w:rsidR="00D006E2" w:rsidRPr="000E0A00" w:rsidRDefault="00D006E2" w:rsidP="00D006E2">
      <w:pPr>
        <w:jc w:val="both"/>
        <w:rPr>
          <w:rFonts w:ascii="Trebuchet MS" w:hAnsi="Trebuchet MS"/>
          <w:lang w:val="es-MX"/>
        </w:rPr>
      </w:pPr>
    </w:p>
    <w:p w14:paraId="287407EA" w14:textId="77777777" w:rsidR="00D006E2" w:rsidRPr="000E0A00" w:rsidRDefault="00D006E2" w:rsidP="00D006E2">
      <w:pPr>
        <w:jc w:val="center"/>
        <w:rPr>
          <w:rFonts w:ascii="Trebuchet MS" w:hAnsi="Trebuchet MS"/>
          <w:b/>
          <w:lang w:val="es-MX"/>
        </w:rPr>
      </w:pPr>
      <w:r w:rsidRPr="000E0A00">
        <w:rPr>
          <w:rFonts w:ascii="Trebuchet MS" w:hAnsi="Trebuchet MS"/>
          <w:b/>
          <w:lang w:val="es-MX"/>
        </w:rPr>
        <w:t>Capítulo III</w:t>
      </w:r>
    </w:p>
    <w:p w14:paraId="0660769A" w14:textId="77777777" w:rsidR="00D006E2" w:rsidRPr="000E0A00" w:rsidRDefault="00D006E2" w:rsidP="00D006E2">
      <w:pPr>
        <w:jc w:val="center"/>
        <w:rPr>
          <w:rFonts w:ascii="Trebuchet MS" w:hAnsi="Trebuchet MS"/>
          <w:b/>
          <w:lang w:val="es-MX"/>
        </w:rPr>
      </w:pPr>
      <w:r w:rsidRPr="000E0A00">
        <w:rPr>
          <w:rFonts w:ascii="Trebuchet MS" w:hAnsi="Trebuchet MS"/>
          <w:b/>
          <w:lang w:val="es-MX"/>
        </w:rPr>
        <w:t>De las precampañas</w:t>
      </w:r>
    </w:p>
    <w:p w14:paraId="3DB29636" w14:textId="77777777" w:rsidR="00D006E2" w:rsidRPr="000E0A00" w:rsidRDefault="00D006E2" w:rsidP="00D006E2">
      <w:pPr>
        <w:jc w:val="center"/>
        <w:rPr>
          <w:rFonts w:ascii="Trebuchet MS" w:hAnsi="Trebuchet MS"/>
          <w:b/>
          <w:lang w:val="es-MX"/>
        </w:rPr>
      </w:pPr>
    </w:p>
    <w:p w14:paraId="07396C2A"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6</w:t>
      </w:r>
    </w:p>
    <w:p w14:paraId="40F732DE" w14:textId="77777777" w:rsidR="00D006E2" w:rsidRPr="000E0A00" w:rsidRDefault="00D006E2" w:rsidP="00D006E2">
      <w:pPr>
        <w:jc w:val="both"/>
        <w:rPr>
          <w:rFonts w:ascii="Trebuchet MS" w:hAnsi="Trebuchet MS"/>
          <w:b/>
          <w:lang w:val="es-MX"/>
        </w:rPr>
      </w:pPr>
    </w:p>
    <w:p w14:paraId="66673D8C" w14:textId="77777777" w:rsidR="00D006E2" w:rsidRPr="000E0A00" w:rsidRDefault="00D006E2" w:rsidP="00D006E2">
      <w:pPr>
        <w:jc w:val="both"/>
        <w:rPr>
          <w:rFonts w:ascii="Trebuchet MS" w:hAnsi="Trebuchet MS"/>
          <w:lang w:val="es-MX"/>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lang w:val="es-MX"/>
        </w:rPr>
        <w:t>El periodo de precampaña de cada partido político dará inicio en la fecha que para tal efecto se establezca en la determinación que cada instituto político haya presentado ante la autoridad electoral, el que nunca podrá iniciar antes de las fechas señaladas en el artículo 229, párrafo 2 del  Código, y concluirá a más tardar en la fecha límite que para tal efecto señala dicho ordenamiento, tratándose de proceso electoral ordinario; o de conformidad con el acuerdo que emita el Consejo General en proceso extraordinario, según corresponda a la elección a desarrollarse.</w:t>
      </w:r>
    </w:p>
    <w:p w14:paraId="21B107F7" w14:textId="77777777" w:rsidR="00D006E2" w:rsidRPr="000E0A00" w:rsidRDefault="00D006E2" w:rsidP="00D006E2">
      <w:pPr>
        <w:jc w:val="both"/>
        <w:rPr>
          <w:rFonts w:ascii="Trebuchet MS" w:hAnsi="Trebuchet MS"/>
          <w:b/>
          <w:lang w:val="es-MX"/>
        </w:rPr>
      </w:pPr>
    </w:p>
    <w:p w14:paraId="1F8B5BFC"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7</w:t>
      </w:r>
    </w:p>
    <w:p w14:paraId="40549070" w14:textId="77777777" w:rsidR="00D006E2" w:rsidRPr="000E0A00" w:rsidRDefault="00D006E2" w:rsidP="00D006E2">
      <w:pPr>
        <w:jc w:val="both"/>
        <w:rPr>
          <w:rFonts w:ascii="Trebuchet MS" w:hAnsi="Trebuchet MS"/>
          <w:b/>
          <w:lang w:val="es-MX"/>
        </w:rPr>
      </w:pPr>
    </w:p>
    <w:p w14:paraId="0735F3E1" w14:textId="4D6AB065" w:rsidR="00D006E2" w:rsidRPr="000E0A00" w:rsidRDefault="00D006E2" w:rsidP="00D006E2">
      <w:pPr>
        <w:jc w:val="both"/>
        <w:rPr>
          <w:rFonts w:ascii="Trebuchet MS" w:hAnsi="Trebuchet MS"/>
          <w:lang w:val="es-MX"/>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lang w:val="es-MX"/>
        </w:rPr>
        <w:t xml:space="preserve">El Instituto </w:t>
      </w:r>
      <w:r w:rsidR="0044599B" w:rsidRPr="000E0A00">
        <w:rPr>
          <w:rFonts w:ascii="Trebuchet MS" w:hAnsi="Trebuchet MS"/>
          <w:lang w:val="es-MX"/>
        </w:rPr>
        <w:t xml:space="preserve">Electoral </w:t>
      </w:r>
      <w:r w:rsidRPr="000E0A00">
        <w:rPr>
          <w:rFonts w:ascii="Trebuchet MS" w:hAnsi="Trebuchet MS"/>
          <w:lang w:val="es-MX"/>
        </w:rPr>
        <w:t xml:space="preserve">podrá reconocer el inicio de una precampaña, </w:t>
      </w:r>
      <w:r w:rsidRPr="000E0A00">
        <w:rPr>
          <w:rFonts w:ascii="Trebuchet MS" w:hAnsi="Trebuchet MS"/>
          <w:bCs/>
          <w:lang w:val="es-MX"/>
        </w:rPr>
        <w:t>aun</w:t>
      </w:r>
      <w:r w:rsidRPr="000E0A00">
        <w:rPr>
          <w:rFonts w:ascii="Trebuchet MS" w:hAnsi="Trebuchet MS"/>
          <w:lang w:val="es-MX"/>
        </w:rPr>
        <w:t xml:space="preserve"> cuando la o el aspirante a una candidatura no informe el inicio de la misma y sean públicos y notorios los actos y gastos de precampaña.</w:t>
      </w:r>
    </w:p>
    <w:p w14:paraId="3BD9B463" w14:textId="77777777" w:rsidR="00D006E2" w:rsidRPr="000E0A00" w:rsidRDefault="00D006E2" w:rsidP="00D006E2">
      <w:pPr>
        <w:jc w:val="both"/>
        <w:rPr>
          <w:rFonts w:ascii="Trebuchet MS" w:hAnsi="Trebuchet MS"/>
          <w:b/>
          <w:lang w:val="es-MX"/>
        </w:rPr>
      </w:pPr>
    </w:p>
    <w:p w14:paraId="29EA15E7" w14:textId="4C2AA6D3" w:rsidR="00D006E2" w:rsidRPr="000E0A00" w:rsidRDefault="00D006E2" w:rsidP="00D006E2">
      <w:pPr>
        <w:jc w:val="both"/>
        <w:rPr>
          <w:rFonts w:ascii="Trebuchet MS" w:hAnsi="Trebuchet MS"/>
          <w:lang w:val="es-MX"/>
        </w:rPr>
      </w:pPr>
      <w:r w:rsidRPr="000E0A00">
        <w:rPr>
          <w:rFonts w:ascii="Trebuchet MS" w:hAnsi="Trebuchet MS"/>
          <w:lang w:val="es-MX"/>
        </w:rPr>
        <w:t>2. Una vez que se haya informado o, en su caso, reconocido el inicio de una precampaña, la o el aspirante a una candidatura se sujetará ante el Instituto</w:t>
      </w:r>
      <w:r w:rsidR="00D22B6C" w:rsidRPr="000E0A00">
        <w:rPr>
          <w:rFonts w:ascii="Trebuchet MS" w:hAnsi="Trebuchet MS"/>
          <w:lang w:val="es-MX"/>
        </w:rPr>
        <w:t xml:space="preserve"> Electoral</w:t>
      </w:r>
      <w:r w:rsidRPr="000E0A00">
        <w:rPr>
          <w:rFonts w:ascii="Trebuchet MS" w:hAnsi="Trebuchet MS"/>
          <w:lang w:val="es-MX"/>
        </w:rPr>
        <w:t>, a las obligaciones previstas por el Código, los estatutos de su partido y este Reglamento, para lo cual se deberá considerar la totalidad de los actos realizados desde el inicio y hasta la conclusión de la precampaña.</w:t>
      </w:r>
    </w:p>
    <w:p w14:paraId="145713E4" w14:textId="77777777" w:rsidR="00D006E2" w:rsidRPr="000E0A00" w:rsidRDefault="00D006E2" w:rsidP="00D006E2">
      <w:pPr>
        <w:jc w:val="both"/>
        <w:rPr>
          <w:rFonts w:ascii="Trebuchet MS" w:hAnsi="Trebuchet MS"/>
          <w:b/>
          <w:lang w:val="es-MX"/>
        </w:rPr>
      </w:pPr>
    </w:p>
    <w:p w14:paraId="6BA2C48D" w14:textId="77777777" w:rsidR="00D006E2" w:rsidRPr="000E0A00" w:rsidRDefault="00D006E2" w:rsidP="00D006E2">
      <w:pPr>
        <w:jc w:val="both"/>
        <w:rPr>
          <w:rFonts w:ascii="Trebuchet MS" w:hAnsi="Trebuchet MS"/>
          <w:b/>
          <w:lang w:val="es-MX"/>
        </w:rPr>
      </w:pPr>
      <w:r w:rsidRPr="000E0A00">
        <w:rPr>
          <w:rFonts w:ascii="Trebuchet MS" w:hAnsi="Trebuchet MS"/>
          <w:b/>
          <w:lang w:val="es-MX"/>
        </w:rPr>
        <w:t>Artículo 8</w:t>
      </w:r>
    </w:p>
    <w:p w14:paraId="5E5B544D" w14:textId="77777777" w:rsidR="00D006E2" w:rsidRPr="000E0A00" w:rsidRDefault="00D006E2" w:rsidP="00D006E2">
      <w:pPr>
        <w:jc w:val="both"/>
        <w:rPr>
          <w:rFonts w:ascii="Trebuchet MS" w:hAnsi="Trebuchet MS"/>
          <w:b/>
          <w:lang w:val="es-MX"/>
        </w:rPr>
      </w:pPr>
    </w:p>
    <w:p w14:paraId="70BDEA35" w14:textId="1B4EC60B" w:rsidR="00D006E2" w:rsidRPr="000E0A00" w:rsidRDefault="00D006E2" w:rsidP="00D006E2">
      <w:pPr>
        <w:jc w:val="both"/>
        <w:rPr>
          <w:rFonts w:ascii="Trebuchet MS" w:hAnsi="Trebuchet MS"/>
          <w:lang w:val="es-MX"/>
        </w:rPr>
      </w:pPr>
      <w:r w:rsidRPr="000E0A00">
        <w:rPr>
          <w:rFonts w:ascii="Trebuchet MS" w:hAnsi="Trebuchet MS"/>
          <w:lang w:val="es-MX"/>
        </w:rPr>
        <w:t>1.</w:t>
      </w:r>
      <w:r w:rsidRPr="000E0A00">
        <w:rPr>
          <w:rFonts w:ascii="Trebuchet MS" w:hAnsi="Trebuchet MS"/>
          <w:b/>
          <w:lang w:val="es-MX"/>
        </w:rPr>
        <w:t xml:space="preserve"> </w:t>
      </w:r>
      <w:r w:rsidRPr="000E0A00">
        <w:rPr>
          <w:rFonts w:ascii="Trebuchet MS" w:hAnsi="Trebuchet MS"/>
          <w:lang w:val="es-MX"/>
        </w:rPr>
        <w:t xml:space="preserve">Una vez concluido el proceso de selección interna de precandidaturas, y dentro de los tres días siguientes, los partidos políticos presentarán al Instituto </w:t>
      </w:r>
      <w:r w:rsidR="00D22B6C" w:rsidRPr="000E0A00">
        <w:rPr>
          <w:rFonts w:ascii="Trebuchet MS" w:hAnsi="Trebuchet MS"/>
          <w:lang w:val="es-MX"/>
        </w:rPr>
        <w:t xml:space="preserve">Electoral </w:t>
      </w:r>
      <w:r w:rsidRPr="000E0A00">
        <w:rPr>
          <w:rFonts w:ascii="Trebuchet MS" w:hAnsi="Trebuchet MS"/>
          <w:lang w:val="es-MX"/>
        </w:rPr>
        <w:t xml:space="preserve">una lista que contenga el nombre de cada una de las personas que haya resultado ganadora a contender por los cargos de gobernador, diputados y presidentes municipales, síndicos y regidores debiendo anexar las constancias que acrediten que se les ha elegido en el proceso interno. </w:t>
      </w:r>
    </w:p>
    <w:p w14:paraId="40CEE419" w14:textId="77777777" w:rsidR="00D006E2" w:rsidRPr="000E0A00" w:rsidRDefault="00D006E2" w:rsidP="00D006E2">
      <w:pPr>
        <w:jc w:val="both"/>
        <w:rPr>
          <w:rFonts w:ascii="Trebuchet MS" w:hAnsi="Trebuchet MS"/>
          <w:lang w:val="es-MX"/>
        </w:rPr>
      </w:pPr>
    </w:p>
    <w:p w14:paraId="26294DFB" w14:textId="77777777" w:rsidR="00D006E2" w:rsidRPr="000E0A00" w:rsidRDefault="00D006E2" w:rsidP="00D006E2">
      <w:pPr>
        <w:jc w:val="both"/>
        <w:rPr>
          <w:rFonts w:ascii="Trebuchet MS" w:hAnsi="Trebuchet MS"/>
          <w:lang w:val="es-MX"/>
        </w:rPr>
      </w:pPr>
    </w:p>
    <w:p w14:paraId="19A15F3E" w14:textId="77777777" w:rsidR="00D006E2" w:rsidRPr="000E0A00" w:rsidRDefault="00D006E2" w:rsidP="00D006E2">
      <w:pPr>
        <w:jc w:val="center"/>
        <w:rPr>
          <w:rFonts w:ascii="Trebuchet MS" w:hAnsi="Trebuchet MS"/>
          <w:b/>
          <w:lang w:val="en-US"/>
        </w:rPr>
      </w:pPr>
      <w:r w:rsidRPr="000E0A00">
        <w:rPr>
          <w:rFonts w:ascii="Trebuchet MS" w:hAnsi="Trebuchet MS"/>
          <w:b/>
          <w:lang w:val="en-US"/>
        </w:rPr>
        <w:t xml:space="preserve">T R </w:t>
      </w:r>
      <w:proofErr w:type="gramStart"/>
      <w:r w:rsidRPr="000E0A00">
        <w:rPr>
          <w:rFonts w:ascii="Trebuchet MS" w:hAnsi="Trebuchet MS"/>
          <w:b/>
          <w:lang w:val="en-US"/>
        </w:rPr>
        <w:t>A</w:t>
      </w:r>
      <w:proofErr w:type="gramEnd"/>
      <w:r w:rsidRPr="000E0A00">
        <w:rPr>
          <w:rFonts w:ascii="Trebuchet MS" w:hAnsi="Trebuchet MS"/>
          <w:b/>
          <w:lang w:val="en-US"/>
        </w:rPr>
        <w:t xml:space="preserve"> N S I T O R I O:</w:t>
      </w:r>
    </w:p>
    <w:p w14:paraId="5ECF84D2" w14:textId="77777777" w:rsidR="00D006E2" w:rsidRPr="000E0A00" w:rsidRDefault="00D006E2" w:rsidP="00D006E2">
      <w:pPr>
        <w:jc w:val="both"/>
        <w:rPr>
          <w:rFonts w:ascii="Trebuchet MS" w:hAnsi="Trebuchet MS"/>
          <w:bCs/>
          <w:lang w:val="en-US"/>
        </w:rPr>
      </w:pPr>
    </w:p>
    <w:p w14:paraId="3004EE4D" w14:textId="58DE8ADD" w:rsidR="00A63B87" w:rsidRPr="000E0A00" w:rsidRDefault="00D006E2" w:rsidP="00CA49FC">
      <w:pPr>
        <w:jc w:val="both"/>
        <w:rPr>
          <w:lang w:val="es-MX"/>
        </w:rPr>
      </w:pPr>
      <w:r w:rsidRPr="000E0A00">
        <w:rPr>
          <w:rFonts w:ascii="Trebuchet MS" w:hAnsi="Trebuchet MS"/>
          <w:b/>
        </w:rPr>
        <w:t xml:space="preserve">ÚNICO.- </w:t>
      </w:r>
      <w:r w:rsidRPr="000E0A00">
        <w:rPr>
          <w:rFonts w:ascii="Trebuchet MS" w:hAnsi="Trebuchet MS"/>
        </w:rPr>
        <w:t xml:space="preserve">El presente </w:t>
      </w:r>
      <w:r w:rsidR="00B4592D" w:rsidRPr="000E0A00">
        <w:rPr>
          <w:rFonts w:ascii="Trebuchet MS" w:hAnsi="Trebuchet MS"/>
        </w:rPr>
        <w:t>reglamento</w:t>
      </w:r>
      <w:r w:rsidRPr="000E0A00">
        <w:rPr>
          <w:rFonts w:ascii="Trebuchet MS" w:hAnsi="Trebuchet MS"/>
        </w:rPr>
        <w:t xml:space="preserve"> entrará en vigor </w:t>
      </w:r>
      <w:r w:rsidRPr="000E0A00">
        <w:rPr>
          <w:rFonts w:ascii="Trebuchet MS" w:hAnsi="Trebuchet MS"/>
          <w:bCs/>
        </w:rPr>
        <w:t xml:space="preserve">a partir del día siguiente de su publicación en el </w:t>
      </w:r>
      <w:r w:rsidRPr="000E0A00">
        <w:rPr>
          <w:rFonts w:ascii="Trebuchet MS" w:hAnsi="Trebuchet MS"/>
          <w:bCs/>
          <w:i/>
        </w:rPr>
        <w:t>Periódico Oficial “El Estado de Jalisco”</w:t>
      </w:r>
      <w:r w:rsidRPr="000E0A00">
        <w:rPr>
          <w:rFonts w:ascii="Trebuchet MS" w:hAnsi="Trebuchet MS"/>
          <w:bCs/>
        </w:rPr>
        <w:t xml:space="preserve">. </w:t>
      </w:r>
    </w:p>
    <w:sectPr w:rsidR="00A63B87" w:rsidRPr="000E0A00" w:rsidSect="00A63B87">
      <w:headerReference w:type="default" r:id="rId8"/>
      <w:footerReference w:type="even" r:id="rId9"/>
      <w:footerReference w:type="default" r:id="rId10"/>
      <w:footnotePr>
        <w:pos w:val="beneathText"/>
      </w:footnotePr>
      <w:pgSz w:w="12240" w:h="15840"/>
      <w:pgMar w:top="1417" w:right="1701" w:bottom="1417"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5A30" w14:textId="77777777" w:rsidR="00F2010B" w:rsidRDefault="00F2010B">
      <w:r>
        <w:separator/>
      </w:r>
    </w:p>
  </w:endnote>
  <w:endnote w:type="continuationSeparator" w:id="0">
    <w:p w14:paraId="4FB61112" w14:textId="77777777" w:rsidR="00F2010B" w:rsidRDefault="00F2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AE71" w14:textId="77777777" w:rsidR="00715184" w:rsidRDefault="00715184" w:rsidP="00A63B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81DB86" w14:textId="77777777" w:rsidR="00715184" w:rsidRDefault="00715184" w:rsidP="00A63B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99857"/>
      <w:docPartObj>
        <w:docPartGallery w:val="Page Numbers (Bottom of Page)"/>
        <w:docPartUnique/>
      </w:docPartObj>
    </w:sdtPr>
    <w:sdtEndPr>
      <w:rPr>
        <w:sz w:val="18"/>
      </w:rPr>
    </w:sdtEndPr>
    <w:sdtContent>
      <w:p w14:paraId="2C4DDFD2" w14:textId="35892B63" w:rsidR="00270AAC" w:rsidRPr="00270AAC" w:rsidRDefault="00270AAC">
        <w:pPr>
          <w:pStyle w:val="Piedepgina"/>
          <w:jc w:val="right"/>
          <w:rPr>
            <w:sz w:val="18"/>
          </w:rPr>
        </w:pPr>
        <w:r w:rsidRPr="00270AAC">
          <w:rPr>
            <w:sz w:val="18"/>
          </w:rPr>
          <w:fldChar w:fldCharType="begin"/>
        </w:r>
        <w:r w:rsidRPr="00270AAC">
          <w:rPr>
            <w:sz w:val="18"/>
          </w:rPr>
          <w:instrText>PAGE   \* MERGEFORMAT</w:instrText>
        </w:r>
        <w:r w:rsidRPr="00270AAC">
          <w:rPr>
            <w:sz w:val="18"/>
          </w:rPr>
          <w:fldChar w:fldCharType="separate"/>
        </w:r>
        <w:r>
          <w:rPr>
            <w:noProof/>
            <w:sz w:val="18"/>
          </w:rPr>
          <w:t>3</w:t>
        </w:r>
        <w:r w:rsidRPr="00270AAC">
          <w:rPr>
            <w:sz w:val="18"/>
          </w:rPr>
          <w:fldChar w:fldCharType="end"/>
        </w:r>
      </w:p>
    </w:sdtContent>
  </w:sdt>
  <w:p w14:paraId="24117659" w14:textId="77777777" w:rsidR="00715184" w:rsidRDefault="0071518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D3130" w14:textId="77777777" w:rsidR="00F2010B" w:rsidRDefault="00F2010B">
      <w:r>
        <w:separator/>
      </w:r>
    </w:p>
  </w:footnote>
  <w:footnote w:type="continuationSeparator" w:id="0">
    <w:p w14:paraId="72656E0B" w14:textId="77777777" w:rsidR="00F2010B" w:rsidRDefault="00F2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D40FD" w14:textId="4AB0BE25" w:rsidR="00A45337" w:rsidRDefault="00A45337" w:rsidP="00A45337">
    <w:pPr>
      <w:pStyle w:val="Encabezado"/>
      <w:jc w:val="center"/>
    </w:pPr>
    <w:r>
      <w:rPr>
        <w:rStyle w:val="Ninguno"/>
        <w:rFonts w:ascii="Arial" w:hAnsi="Arial"/>
        <w:noProof/>
        <w:lang w:val="es-MX" w:eastAsia="es-MX"/>
      </w:rPr>
      <w:drawing>
        <wp:inline distT="0" distB="0" distL="0" distR="0" wp14:anchorId="797B75FE" wp14:editId="106A8856">
          <wp:extent cx="685465" cy="403800"/>
          <wp:effectExtent l="0" t="0" r="0" b="0"/>
          <wp:docPr id="1073741825" name="officeArt object" descr="Instituto Electoral y de Participación Ciudadana de Jalisco"/>
          <wp:cNvGraphicFramePr/>
          <a:graphic xmlns:a="http://schemas.openxmlformats.org/drawingml/2006/main">
            <a:graphicData uri="http://schemas.openxmlformats.org/drawingml/2006/picture">
              <pic:pic xmlns:pic="http://schemas.openxmlformats.org/drawingml/2006/picture">
                <pic:nvPicPr>
                  <pic:cNvPr id="1073741825" name="Instituto Electoral y de Participación Ciudadana de Jalisco.png" descr="Instituto Electoral y de Participación Ciudadana de Jalisco"/>
                  <pic:cNvPicPr>
                    <a:picLocks noChangeAspect="1"/>
                  </pic:cNvPicPr>
                </pic:nvPicPr>
                <pic:blipFill>
                  <a:blip r:embed="rId1">
                    <a:extLst/>
                  </a:blip>
                  <a:srcRect r="12925" b="8035"/>
                  <a:stretch>
                    <a:fillRect/>
                  </a:stretch>
                </pic:blipFill>
                <pic:spPr>
                  <a:xfrm>
                    <a:off x="0" y="0"/>
                    <a:ext cx="685465" cy="4038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upperRoman"/>
      <w:lvlText w:val="%1."/>
      <w:lvlJc w:val="left"/>
      <w:pPr>
        <w:tabs>
          <w:tab w:val="num" w:pos="1425"/>
        </w:tabs>
        <w:ind w:left="1425" w:hanging="720"/>
      </w:pPr>
      <w:rPr>
        <w:b w:val="0"/>
      </w:rPr>
    </w:lvl>
  </w:abstractNum>
  <w:abstractNum w:abstractNumId="1">
    <w:nsid w:val="2EB93BB1"/>
    <w:multiLevelType w:val="hybridMultilevel"/>
    <w:tmpl w:val="F12CBE8A"/>
    <w:lvl w:ilvl="0" w:tplc="0C0A0013">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5E7F00"/>
    <w:multiLevelType w:val="hybridMultilevel"/>
    <w:tmpl w:val="CA98C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E2"/>
    <w:rsid w:val="00072267"/>
    <w:rsid w:val="000A0883"/>
    <w:rsid w:val="000E0A00"/>
    <w:rsid w:val="00270AAC"/>
    <w:rsid w:val="00276B90"/>
    <w:rsid w:val="002D0899"/>
    <w:rsid w:val="0044599B"/>
    <w:rsid w:val="004D0762"/>
    <w:rsid w:val="00523867"/>
    <w:rsid w:val="00552BEF"/>
    <w:rsid w:val="005A2038"/>
    <w:rsid w:val="006E71DA"/>
    <w:rsid w:val="0070531D"/>
    <w:rsid w:val="00705689"/>
    <w:rsid w:val="00715184"/>
    <w:rsid w:val="00775081"/>
    <w:rsid w:val="0090165C"/>
    <w:rsid w:val="0096465B"/>
    <w:rsid w:val="00985164"/>
    <w:rsid w:val="009A1B08"/>
    <w:rsid w:val="009A5D4A"/>
    <w:rsid w:val="009D4827"/>
    <w:rsid w:val="00A0046D"/>
    <w:rsid w:val="00A45337"/>
    <w:rsid w:val="00A63B87"/>
    <w:rsid w:val="00AE4E6F"/>
    <w:rsid w:val="00B1022B"/>
    <w:rsid w:val="00B4592D"/>
    <w:rsid w:val="00BC2699"/>
    <w:rsid w:val="00CA49FC"/>
    <w:rsid w:val="00D006E2"/>
    <w:rsid w:val="00D22B6C"/>
    <w:rsid w:val="00D5368F"/>
    <w:rsid w:val="00E628FE"/>
    <w:rsid w:val="00EA4073"/>
    <w:rsid w:val="00F2010B"/>
    <w:rsid w:val="00F44805"/>
    <w:rsid w:val="00FA0EB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B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E2"/>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006E2"/>
  </w:style>
  <w:style w:type="paragraph" w:styleId="Piedepgina">
    <w:name w:val="footer"/>
    <w:basedOn w:val="Normal"/>
    <w:link w:val="PiedepginaCar"/>
    <w:uiPriority w:val="99"/>
    <w:rsid w:val="00D006E2"/>
    <w:pPr>
      <w:tabs>
        <w:tab w:val="center" w:pos="4252"/>
        <w:tab w:val="right" w:pos="8504"/>
      </w:tabs>
    </w:pPr>
  </w:style>
  <w:style w:type="character" w:customStyle="1" w:styleId="PiedepginaCar">
    <w:name w:val="Pie de página Car"/>
    <w:basedOn w:val="Fuentedeprrafopredeter"/>
    <w:link w:val="Piedepgina"/>
    <w:uiPriority w:val="99"/>
    <w:rsid w:val="00D006E2"/>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D006E2"/>
    <w:pPr>
      <w:ind w:left="708"/>
    </w:pPr>
  </w:style>
  <w:style w:type="paragraph" w:customStyle="1" w:styleId="Contenidodelatabla">
    <w:name w:val="Contenido de la tabla"/>
    <w:basedOn w:val="Normal"/>
    <w:rsid w:val="00D006E2"/>
    <w:pPr>
      <w:suppressLineNumbers/>
    </w:pPr>
  </w:style>
  <w:style w:type="paragraph" w:styleId="Textodeglobo">
    <w:name w:val="Balloon Text"/>
    <w:basedOn w:val="Normal"/>
    <w:link w:val="TextodegloboCar"/>
    <w:uiPriority w:val="99"/>
    <w:semiHidden/>
    <w:unhideWhenUsed/>
    <w:rsid w:val="002D0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899"/>
    <w:rPr>
      <w:rFonts w:ascii="Tahoma" w:eastAsia="Times New Roman" w:hAnsi="Tahoma" w:cs="Tahoma"/>
      <w:sz w:val="16"/>
      <w:szCs w:val="16"/>
      <w:lang w:val="es-ES" w:eastAsia="ar-SA"/>
    </w:rPr>
  </w:style>
  <w:style w:type="paragraph" w:styleId="Encabezado">
    <w:name w:val="header"/>
    <w:basedOn w:val="Normal"/>
    <w:link w:val="EncabezadoCar"/>
    <w:uiPriority w:val="99"/>
    <w:unhideWhenUsed/>
    <w:rsid w:val="00A45337"/>
    <w:pPr>
      <w:tabs>
        <w:tab w:val="center" w:pos="4419"/>
        <w:tab w:val="right" w:pos="8838"/>
      </w:tabs>
    </w:pPr>
  </w:style>
  <w:style w:type="character" w:customStyle="1" w:styleId="EncabezadoCar">
    <w:name w:val="Encabezado Car"/>
    <w:basedOn w:val="Fuentedeprrafopredeter"/>
    <w:link w:val="Encabezado"/>
    <w:uiPriority w:val="99"/>
    <w:rsid w:val="00A45337"/>
    <w:rPr>
      <w:rFonts w:ascii="Times New Roman" w:eastAsia="Times New Roman" w:hAnsi="Times New Roman" w:cs="Times New Roman"/>
      <w:sz w:val="24"/>
      <w:szCs w:val="24"/>
      <w:lang w:val="es-ES" w:eastAsia="ar-SA"/>
    </w:rPr>
  </w:style>
  <w:style w:type="character" w:customStyle="1" w:styleId="Ninguno">
    <w:name w:val="Ninguno"/>
    <w:rsid w:val="00A45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E2"/>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006E2"/>
  </w:style>
  <w:style w:type="paragraph" w:styleId="Piedepgina">
    <w:name w:val="footer"/>
    <w:basedOn w:val="Normal"/>
    <w:link w:val="PiedepginaCar"/>
    <w:uiPriority w:val="99"/>
    <w:rsid w:val="00D006E2"/>
    <w:pPr>
      <w:tabs>
        <w:tab w:val="center" w:pos="4252"/>
        <w:tab w:val="right" w:pos="8504"/>
      </w:tabs>
    </w:pPr>
  </w:style>
  <w:style w:type="character" w:customStyle="1" w:styleId="PiedepginaCar">
    <w:name w:val="Pie de página Car"/>
    <w:basedOn w:val="Fuentedeprrafopredeter"/>
    <w:link w:val="Piedepgina"/>
    <w:uiPriority w:val="99"/>
    <w:rsid w:val="00D006E2"/>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D006E2"/>
    <w:pPr>
      <w:ind w:left="708"/>
    </w:pPr>
  </w:style>
  <w:style w:type="paragraph" w:customStyle="1" w:styleId="Contenidodelatabla">
    <w:name w:val="Contenido de la tabla"/>
    <w:basedOn w:val="Normal"/>
    <w:rsid w:val="00D006E2"/>
    <w:pPr>
      <w:suppressLineNumbers/>
    </w:pPr>
  </w:style>
  <w:style w:type="paragraph" w:styleId="Textodeglobo">
    <w:name w:val="Balloon Text"/>
    <w:basedOn w:val="Normal"/>
    <w:link w:val="TextodegloboCar"/>
    <w:uiPriority w:val="99"/>
    <w:semiHidden/>
    <w:unhideWhenUsed/>
    <w:rsid w:val="002D0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899"/>
    <w:rPr>
      <w:rFonts w:ascii="Tahoma" w:eastAsia="Times New Roman" w:hAnsi="Tahoma" w:cs="Tahoma"/>
      <w:sz w:val="16"/>
      <w:szCs w:val="16"/>
      <w:lang w:val="es-ES" w:eastAsia="ar-SA"/>
    </w:rPr>
  </w:style>
  <w:style w:type="paragraph" w:styleId="Encabezado">
    <w:name w:val="header"/>
    <w:basedOn w:val="Normal"/>
    <w:link w:val="EncabezadoCar"/>
    <w:uiPriority w:val="99"/>
    <w:unhideWhenUsed/>
    <w:rsid w:val="00A45337"/>
    <w:pPr>
      <w:tabs>
        <w:tab w:val="center" w:pos="4419"/>
        <w:tab w:val="right" w:pos="8838"/>
      </w:tabs>
    </w:pPr>
  </w:style>
  <w:style w:type="character" w:customStyle="1" w:styleId="EncabezadoCar">
    <w:name w:val="Encabezado Car"/>
    <w:basedOn w:val="Fuentedeprrafopredeter"/>
    <w:link w:val="Encabezado"/>
    <w:uiPriority w:val="99"/>
    <w:rsid w:val="00A45337"/>
    <w:rPr>
      <w:rFonts w:ascii="Times New Roman" w:eastAsia="Times New Roman" w:hAnsi="Times New Roman" w:cs="Times New Roman"/>
      <w:sz w:val="24"/>
      <w:szCs w:val="24"/>
      <w:lang w:val="es-ES" w:eastAsia="ar-SA"/>
    </w:rPr>
  </w:style>
  <w:style w:type="character" w:customStyle="1" w:styleId="Ninguno">
    <w:name w:val="Ninguno"/>
    <w:rsid w:val="00A4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Jesús Roberto Gómez Navarro</cp:lastModifiedBy>
  <cp:revision>3</cp:revision>
  <cp:lastPrinted>2017-03-27T15:21:00Z</cp:lastPrinted>
  <dcterms:created xsi:type="dcterms:W3CDTF">2017-05-11T15:27:00Z</dcterms:created>
  <dcterms:modified xsi:type="dcterms:W3CDTF">2017-05-11T17:31:00Z</dcterms:modified>
</cp:coreProperties>
</file>