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lang w:val="es-ES"/>
        </w:rPr>
        <w:id w:val="19579693"/>
        <w:docPartObj>
          <w:docPartGallery w:val="Cover Pages"/>
          <w:docPartUnique/>
        </w:docPartObj>
      </w:sdtPr>
      <w:sdtEndPr>
        <w:rPr>
          <w:rFonts w:cstheme="minorHAnsi"/>
          <w:noProof/>
          <w:lang w:val="es-MX" w:eastAsia="es-MX"/>
        </w:rPr>
      </w:sdtEndPr>
      <w:sdtContent>
        <w:p w:rsidR="00053FBD" w:rsidRDefault="00053FBD">
          <w:pPr>
            <w:rPr>
              <w:lang w:val="es-ES"/>
            </w:rPr>
          </w:pPr>
        </w:p>
        <w:p w:rsidR="00053FBD" w:rsidRDefault="0000720B">
          <w:pPr>
            <w:rPr>
              <w:lang w:val="es-ES"/>
            </w:rPr>
          </w:pPr>
          <w:r w:rsidRPr="0000720B">
            <w:rPr>
              <w:noProof/>
              <w:lang w:val="es-ES"/>
            </w:rPr>
            <w:pict>
              <v:group id="_x0000_s1026" style="position:absolute;margin-left:0;margin-top:0;width:564.5pt;height:798.85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27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28" style="position:absolute;left:339;top:406;width:11582;height:15025;mso-width-relative:margin;v-text-anchor:middle" fillcolor="#8c8c8c [1772]" strokecolor="white [3212]" strokeweight="1pt">
                    <v:fill r:id="rId9" o:title="Zig zag" color2="#bfbfbf [2412]" type="pattern"/>
                    <v:shadow color="#d8d8d8 [2732]" offset="3pt,3pt" offset2="2pt,2pt"/>
                  </v:rect>
                  <v:rect id="_x0000_s1029" style="position:absolute;left:3446;top:406;width:8475;height:15025;mso-width-relative:margin" fillcolor="#8064a2 [3207]" strokecolor="#f2f2f2 [3041]" strokeweight="3pt">
                    <v:shadow on="t" type="perspective" color="#3f3151 [1607]" opacity=".5" offset="1pt" offset2="-1pt"/>
                    <v:textbox style="mso-next-textbox:#_x0000_s1029" inset="18pt,108pt,36pt">
                      <w:txbxContent>
                        <w:sdt>
                          <w:sdtP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alias w:val="Título"/>
                            <w:id w:val="16962279"/>
                            <w:placeholder>
                              <w:docPart w:val="F218A729E79C43A5AB24633C7C08E0CB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053FBD" w:rsidRDefault="00053FBD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Informe Anual 2015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placeholder>
                              <w:docPart w:val="91DBA41E2CF7496BBD89DFE435ACEA26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053FBD" w:rsidRDefault="00053FBD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Unidad de Transparencia e Información Pública</w:t>
                              </w:r>
                            </w:p>
                          </w:sdtContent>
                        </w:sdt>
                        <w:p w:rsidR="00053FBD" w:rsidRDefault="00053FBD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p w:rsidR="00053FBD" w:rsidRDefault="00053FBD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p w:rsidR="00053FBD" w:rsidRDefault="00053FBD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30" style="position:absolute;left:321;top:3424;width:3125;height:6069" coordorigin="654,3599" coordsize="2880,5760">
                    <v:rect id="_x0000_s1031" style="position:absolute;left:2094;top:647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2" style="position:absolute;left:2094;top:503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3" style="position:absolute;left:654;top:503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4" style="position:absolute;left:654;top:359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5" style="position:absolute;left:654;top:647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6" style="position:absolute;left:2094;top:791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37" style="position:absolute;left:2690;top:406;width:1563;height:1518;flip:x;mso-width-relative:margin;v-text-anchor:bottom" fillcolor="#f79646 [3209]" strokecolor="#f2f2f2 [3041]" strokeweight="3pt">
                    <v:shadow on="t" type="perspective" color="#974706 [1609]" opacity=".5" offset="1pt" offset2="-1pt"/>
                    <v:textbox style="mso-next-textbox:#_x0000_s1037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  <w:lang w:val="es-ES"/>
                            </w:rPr>
                            <w:alias w:val="Año"/>
                            <w:id w:val="16962274"/>
                            <w:placeholder>
                              <w:docPart w:val="57C5C743C3BD4C118E53CB258DAB39B0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6-01-01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053FBD" w:rsidRDefault="00053FBD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52"/>
                                  <w:lang w:val="es-ES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2016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38" style="position:absolute;left:3446;top:13758;width:8169;height:1382" coordorigin="3446,13758" coordsize="8169,1382">
                  <v:group id="_x0000_s1039" style="position:absolute;left:10833;top:14380;width:782;height:760;flip:x y" coordorigin="8754,11945" coordsize="2880,2859">
                    <v:rect id="_x0000_s1040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41" style="position:absolute;left:10194;top:13364;width:1440;height:1440;flip:x;mso-width-relative:margin;v-text-anchor:middle" fillcolor="#c0504d [3205]" strokecolor="white [3212]" strokeweight="1pt">
                      <v:shadow color="#d8d8d8 [2732]" offset="3pt,3pt" offset2="2pt,2pt"/>
                    </v:rect>
                    <v:rect id="_x0000_s1042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43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43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Autor"/>
                            <w:id w:val="16962296"/>
                            <w:placeholder>
                              <w:docPart w:val="98B09DCA27C34901954EF46949A0601D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053FBD" w:rsidRDefault="00053FBD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Olga Patricia Vergara Guzmán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Organización"/>
                            <w:id w:val="16962301"/>
                            <w:placeholder>
                              <w:docPart w:val="4E09624639044BF7BC67DC0C14DDA7A8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053FBD" w:rsidRDefault="00053FBD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Instituto Electoral y de Participación Ciudadana del Estado de Jalisco</w:t>
                              </w:r>
                            </w:p>
                          </w:sdtContent>
                        </w:sdt>
                        <w:p w:rsidR="00053FBD" w:rsidRDefault="00053FBD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053FBD" w:rsidRDefault="00053FBD">
          <w:pPr>
            <w:rPr>
              <w:rFonts w:cstheme="minorHAnsi"/>
              <w:noProof/>
              <w:lang w:eastAsia="es-MX"/>
            </w:rPr>
          </w:pPr>
          <w:r>
            <w:rPr>
              <w:rFonts w:cstheme="minorHAnsi"/>
              <w:noProof/>
              <w:lang w:eastAsia="es-MX"/>
            </w:rPr>
            <w:br w:type="page"/>
          </w:r>
        </w:p>
      </w:sdtContent>
    </w:sdt>
    <w:p w:rsidR="00E51A28" w:rsidRPr="00C91FEC" w:rsidRDefault="004C53F0" w:rsidP="00C91FEC">
      <w:pPr>
        <w:rPr>
          <w:rFonts w:cstheme="minorHAnsi"/>
        </w:rPr>
      </w:pPr>
      <w:r w:rsidRPr="00126374">
        <w:rPr>
          <w:rFonts w:cstheme="minorHAnsi"/>
          <w:noProof/>
          <w:lang w:eastAsia="es-MX"/>
        </w:rPr>
        <w:lastRenderedPageBreak/>
        <w:t xml:space="preserve">    </w:t>
      </w:r>
    </w:p>
    <w:p w:rsidR="00E51A28" w:rsidRPr="00126374" w:rsidRDefault="00E51A28" w:rsidP="00412FE7">
      <w:pPr>
        <w:jc w:val="center"/>
        <w:rPr>
          <w:rFonts w:cstheme="minorHAnsi"/>
          <w:b/>
          <w:color w:val="5F497A" w:themeColor="accent4" w:themeShade="BF"/>
          <w:sz w:val="60"/>
          <w:szCs w:val="60"/>
        </w:rPr>
      </w:pPr>
    </w:p>
    <w:p w:rsidR="00E51A28" w:rsidRPr="00126374" w:rsidRDefault="00E51A28" w:rsidP="00412FE7">
      <w:pPr>
        <w:jc w:val="center"/>
        <w:rPr>
          <w:rFonts w:cstheme="minorHAnsi"/>
          <w:b/>
          <w:color w:val="5F497A" w:themeColor="accent4" w:themeShade="BF"/>
          <w:sz w:val="60"/>
          <w:szCs w:val="60"/>
        </w:rPr>
      </w:pPr>
    </w:p>
    <w:p w:rsidR="001B43A3" w:rsidRPr="00126374" w:rsidRDefault="00E51A28" w:rsidP="00412FE7">
      <w:pPr>
        <w:jc w:val="center"/>
        <w:rPr>
          <w:rFonts w:cstheme="minorHAnsi"/>
          <w:b/>
          <w:color w:val="5F497A" w:themeColor="accent4" w:themeShade="BF"/>
          <w:sz w:val="60"/>
          <w:szCs w:val="60"/>
        </w:rPr>
      </w:pPr>
      <w:r w:rsidRPr="00126374">
        <w:rPr>
          <w:rFonts w:cstheme="minorHAnsi"/>
          <w:b/>
          <w:color w:val="5F497A" w:themeColor="accent4" w:themeShade="BF"/>
          <w:sz w:val="60"/>
          <w:szCs w:val="60"/>
        </w:rPr>
        <w:t>U</w:t>
      </w:r>
      <w:r w:rsidR="00412FE7" w:rsidRPr="00126374">
        <w:rPr>
          <w:rFonts w:cstheme="minorHAnsi"/>
          <w:b/>
          <w:color w:val="5F497A" w:themeColor="accent4" w:themeShade="BF"/>
          <w:sz w:val="60"/>
          <w:szCs w:val="60"/>
        </w:rPr>
        <w:t>NIDAD DE TRANSPARENCIA E INFORMACIÓN PÚBLICA</w:t>
      </w:r>
    </w:p>
    <w:p w:rsidR="001B43A3" w:rsidRPr="00126374" w:rsidRDefault="001B43A3">
      <w:pPr>
        <w:rPr>
          <w:rFonts w:cstheme="minorHAnsi"/>
          <w:color w:val="5F497A" w:themeColor="accent4" w:themeShade="BF"/>
        </w:rPr>
      </w:pPr>
    </w:p>
    <w:p w:rsidR="00412FE7" w:rsidRPr="00126374" w:rsidRDefault="00412FE7" w:rsidP="00412FE7">
      <w:pPr>
        <w:jc w:val="center"/>
        <w:rPr>
          <w:rFonts w:cstheme="minorHAnsi"/>
          <w:b/>
          <w:color w:val="5F497A" w:themeColor="accent4" w:themeShade="BF"/>
          <w:sz w:val="60"/>
          <w:szCs w:val="60"/>
        </w:rPr>
      </w:pPr>
      <w:r w:rsidRPr="00126374">
        <w:rPr>
          <w:rFonts w:cstheme="minorHAnsi"/>
          <w:b/>
          <w:color w:val="5F497A" w:themeColor="accent4" w:themeShade="BF"/>
          <w:sz w:val="60"/>
          <w:szCs w:val="60"/>
        </w:rPr>
        <w:t>INFORME ANUAL DE ACTIVIDADES 2015</w:t>
      </w: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412FE7" w:rsidRPr="00126374" w:rsidRDefault="00412FE7">
      <w:pPr>
        <w:rPr>
          <w:rFonts w:cstheme="minorHAnsi"/>
          <w:color w:val="403152" w:themeColor="accent4" w:themeShade="80"/>
        </w:rPr>
      </w:pPr>
    </w:p>
    <w:p w:rsidR="001B43A3" w:rsidRPr="00126374" w:rsidRDefault="00412FE7" w:rsidP="00412FE7">
      <w:pPr>
        <w:jc w:val="center"/>
        <w:rPr>
          <w:rFonts w:cstheme="minorHAnsi"/>
          <w:i/>
          <w:color w:val="403152" w:themeColor="accent4" w:themeShade="80"/>
          <w:sz w:val="60"/>
          <w:szCs w:val="60"/>
        </w:rPr>
      </w:pPr>
      <w:r w:rsidRPr="00126374">
        <w:rPr>
          <w:rFonts w:cstheme="minorHAnsi"/>
          <w:i/>
          <w:color w:val="403152" w:themeColor="accent4" w:themeShade="80"/>
          <w:sz w:val="60"/>
          <w:szCs w:val="60"/>
        </w:rPr>
        <w:t>“</w:t>
      </w:r>
      <w:r w:rsidR="001B43A3" w:rsidRPr="00126374">
        <w:rPr>
          <w:rFonts w:cstheme="minorHAnsi"/>
          <w:i/>
          <w:color w:val="403152" w:themeColor="accent4" w:themeShade="80"/>
          <w:sz w:val="60"/>
          <w:szCs w:val="60"/>
        </w:rPr>
        <w:t xml:space="preserve">El acceso a la información es </w:t>
      </w:r>
      <w:r w:rsidR="001B43A3" w:rsidRPr="00126374">
        <w:rPr>
          <w:rFonts w:cstheme="minorHAnsi"/>
          <w:b/>
          <w:i/>
          <w:color w:val="7030A0"/>
          <w:sz w:val="60"/>
          <w:szCs w:val="60"/>
        </w:rPr>
        <w:t>un derecho humano básico</w:t>
      </w:r>
      <w:r w:rsidR="001B43A3" w:rsidRPr="00126374">
        <w:rPr>
          <w:rFonts w:cstheme="minorHAnsi"/>
          <w:i/>
          <w:color w:val="403152" w:themeColor="accent4" w:themeShade="80"/>
          <w:sz w:val="60"/>
          <w:szCs w:val="60"/>
        </w:rPr>
        <w:t xml:space="preserve"> que además permite otros derechos </w:t>
      </w:r>
      <w:r w:rsidRPr="00126374">
        <w:rPr>
          <w:rFonts w:cstheme="minorHAnsi"/>
          <w:i/>
          <w:color w:val="403152" w:themeColor="accent4" w:themeShade="80"/>
          <w:sz w:val="60"/>
          <w:szCs w:val="60"/>
        </w:rPr>
        <w:t xml:space="preserve">esenciales como el de </w:t>
      </w:r>
      <w:r w:rsidRPr="00126374">
        <w:rPr>
          <w:rFonts w:cstheme="minorHAnsi"/>
          <w:b/>
          <w:i/>
          <w:color w:val="7030A0"/>
          <w:sz w:val="60"/>
          <w:szCs w:val="60"/>
        </w:rPr>
        <w:t>libre expresión del pensamiento</w:t>
      </w:r>
      <w:r w:rsidRPr="00126374">
        <w:rPr>
          <w:rFonts w:cstheme="minorHAnsi"/>
          <w:i/>
          <w:color w:val="403152" w:themeColor="accent4" w:themeShade="80"/>
          <w:sz w:val="60"/>
          <w:szCs w:val="60"/>
        </w:rPr>
        <w:t>”</w:t>
      </w:r>
    </w:p>
    <w:p w:rsidR="00412FE7" w:rsidRPr="00126374" w:rsidRDefault="00412FE7" w:rsidP="00412FE7">
      <w:pPr>
        <w:jc w:val="right"/>
        <w:rPr>
          <w:rFonts w:cstheme="minorHAnsi"/>
          <w:i/>
          <w:color w:val="000000" w:themeColor="text1"/>
          <w:sz w:val="60"/>
          <w:szCs w:val="60"/>
        </w:rPr>
      </w:pPr>
      <w:r w:rsidRPr="00126374">
        <w:rPr>
          <w:rFonts w:cstheme="minorHAnsi"/>
          <w:i/>
          <w:color w:val="000000" w:themeColor="text1"/>
          <w:sz w:val="60"/>
          <w:szCs w:val="60"/>
        </w:rPr>
        <w:t>ONU</w:t>
      </w: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1B43A3" w:rsidRPr="00126374" w:rsidRDefault="001B43A3">
      <w:pPr>
        <w:rPr>
          <w:rFonts w:cstheme="minorHAnsi"/>
          <w:color w:val="403152" w:themeColor="accent4" w:themeShade="80"/>
        </w:rPr>
      </w:pPr>
    </w:p>
    <w:p w:rsidR="00B04D33" w:rsidRPr="00126374" w:rsidRDefault="004239DD" w:rsidP="004239DD">
      <w:pPr>
        <w:jc w:val="center"/>
        <w:rPr>
          <w:rFonts w:cstheme="minorHAnsi"/>
          <w:b/>
          <w:sz w:val="60"/>
          <w:szCs w:val="60"/>
        </w:rPr>
      </w:pPr>
      <w:r w:rsidRPr="00126374">
        <w:rPr>
          <w:rFonts w:cstheme="minorHAnsi"/>
          <w:b/>
          <w:sz w:val="60"/>
          <w:szCs w:val="60"/>
        </w:rPr>
        <w:t>Programa:</w:t>
      </w:r>
    </w:p>
    <w:p w:rsidR="00B04D33" w:rsidRPr="00D626B7" w:rsidRDefault="00B04D33" w:rsidP="00B04D33">
      <w:pPr>
        <w:jc w:val="center"/>
        <w:rPr>
          <w:rFonts w:cstheme="minorHAnsi"/>
          <w:b/>
          <w:sz w:val="44"/>
          <w:szCs w:val="44"/>
        </w:rPr>
      </w:pPr>
      <w:r w:rsidRPr="00D626B7">
        <w:rPr>
          <w:rFonts w:cstheme="minorHAnsi"/>
          <w:b/>
          <w:sz w:val="44"/>
          <w:szCs w:val="44"/>
        </w:rPr>
        <w:t>ACCESO A LA INFORMACIÓN PÚBLICA</w:t>
      </w:r>
    </w:p>
    <w:p w:rsidR="00D8742E" w:rsidRPr="00D8742E" w:rsidRDefault="00D8742E" w:rsidP="00D8742E">
      <w:pPr>
        <w:jc w:val="both"/>
        <w:rPr>
          <w:rFonts w:cstheme="minorHAnsi"/>
          <w:b/>
          <w:sz w:val="30"/>
          <w:szCs w:val="30"/>
        </w:rPr>
      </w:pPr>
    </w:p>
    <w:p w:rsidR="00B04D33" w:rsidRPr="00DD75DC" w:rsidRDefault="00D8742E" w:rsidP="00D8742E">
      <w:pPr>
        <w:jc w:val="both"/>
        <w:rPr>
          <w:rFonts w:cstheme="minorHAnsi"/>
          <w:sz w:val="30"/>
          <w:szCs w:val="30"/>
        </w:rPr>
      </w:pPr>
      <w:r w:rsidRPr="00D8742E">
        <w:rPr>
          <w:rFonts w:cstheme="minorHAnsi"/>
          <w:b/>
          <w:sz w:val="30"/>
          <w:szCs w:val="30"/>
        </w:rPr>
        <w:t xml:space="preserve">Objetivo: </w:t>
      </w:r>
      <w:r w:rsidRPr="00DD75DC">
        <w:rPr>
          <w:rFonts w:cstheme="minorHAnsi"/>
          <w:sz w:val="30"/>
          <w:szCs w:val="30"/>
        </w:rPr>
        <w:t>Cumplir con lo dispuesto en la legislación aplicable y el reglamento de transparencia de este Organismo</w:t>
      </w:r>
      <w:r w:rsidR="00DD75DC" w:rsidRPr="00DD75DC">
        <w:rPr>
          <w:rFonts w:cstheme="minorHAnsi"/>
          <w:sz w:val="30"/>
          <w:szCs w:val="30"/>
        </w:rPr>
        <w:t>,</w:t>
      </w:r>
      <w:r w:rsidRPr="00DD75DC">
        <w:rPr>
          <w:rFonts w:cstheme="minorHAnsi"/>
          <w:sz w:val="30"/>
          <w:szCs w:val="30"/>
        </w:rPr>
        <w:t xml:space="preserve"> para garantizar el ejercicio del derecho de acceso a la información de la ciudadanía.</w:t>
      </w:r>
    </w:p>
    <w:p w:rsidR="00DD75DC" w:rsidRDefault="00DD75DC" w:rsidP="00D8742E">
      <w:pPr>
        <w:jc w:val="both"/>
        <w:rPr>
          <w:rFonts w:cstheme="minorHAnsi"/>
          <w:b/>
          <w:sz w:val="30"/>
          <w:szCs w:val="30"/>
        </w:rPr>
      </w:pPr>
    </w:p>
    <w:p w:rsidR="00D8742E" w:rsidRPr="00D8742E" w:rsidRDefault="00D8742E" w:rsidP="00D8742E">
      <w:pPr>
        <w:jc w:val="both"/>
        <w:rPr>
          <w:rFonts w:cstheme="minorHAnsi"/>
          <w:b/>
          <w:sz w:val="30"/>
          <w:szCs w:val="30"/>
        </w:rPr>
      </w:pPr>
      <w:r w:rsidRPr="00D8742E">
        <w:rPr>
          <w:rFonts w:cstheme="minorHAnsi"/>
          <w:b/>
          <w:sz w:val="30"/>
          <w:szCs w:val="30"/>
        </w:rPr>
        <w:t xml:space="preserve">Objetivo específico: </w:t>
      </w:r>
      <w:r w:rsidRPr="00DD75DC">
        <w:rPr>
          <w:rFonts w:cstheme="minorHAnsi"/>
          <w:sz w:val="30"/>
          <w:szCs w:val="30"/>
        </w:rPr>
        <w:t>Dar respuesta cabal y oportuna a todas las solicitudes de información que ingresen al organismo en la forma y medio establecidos por la ley, cumpliendo con los principios rectores del derecho de acceso a la información.</w:t>
      </w:r>
    </w:p>
    <w:p w:rsidR="00B04D33" w:rsidRPr="00126374" w:rsidRDefault="00B04D33">
      <w:pPr>
        <w:rPr>
          <w:rFonts w:cstheme="minorHAnsi"/>
          <w:b/>
          <w:sz w:val="28"/>
          <w:szCs w:val="28"/>
        </w:rPr>
      </w:pPr>
    </w:p>
    <w:p w:rsidR="00B04D33" w:rsidRPr="00126374" w:rsidRDefault="00B04D33">
      <w:pPr>
        <w:rPr>
          <w:rFonts w:cstheme="minorHAnsi"/>
          <w:b/>
          <w:sz w:val="28"/>
          <w:szCs w:val="28"/>
        </w:rPr>
      </w:pPr>
    </w:p>
    <w:p w:rsidR="00B04D33" w:rsidRPr="00126374" w:rsidRDefault="00B04D33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D90A50" w:rsidRPr="00126374" w:rsidRDefault="00D90A50">
      <w:pPr>
        <w:rPr>
          <w:rFonts w:cstheme="minorHAnsi"/>
          <w:b/>
          <w:sz w:val="28"/>
          <w:szCs w:val="28"/>
        </w:rPr>
      </w:pPr>
    </w:p>
    <w:p w:rsidR="00D90A50" w:rsidRPr="00126374" w:rsidRDefault="00D90A50">
      <w:pPr>
        <w:rPr>
          <w:rFonts w:cstheme="minorHAnsi"/>
          <w:b/>
          <w:sz w:val="28"/>
          <w:szCs w:val="28"/>
        </w:rPr>
      </w:pPr>
    </w:p>
    <w:p w:rsidR="00B04D33" w:rsidRPr="00126374" w:rsidRDefault="00B04D33">
      <w:pPr>
        <w:rPr>
          <w:rFonts w:cstheme="minorHAnsi"/>
          <w:b/>
          <w:sz w:val="28"/>
          <w:szCs w:val="28"/>
        </w:rPr>
      </w:pPr>
    </w:p>
    <w:p w:rsidR="004239DD" w:rsidRPr="00126374" w:rsidRDefault="004239DD" w:rsidP="004239DD">
      <w:pPr>
        <w:jc w:val="center"/>
        <w:rPr>
          <w:rFonts w:cstheme="minorHAnsi"/>
          <w:b/>
          <w:color w:val="403152" w:themeColor="accent4" w:themeShade="80"/>
          <w:sz w:val="60"/>
          <w:szCs w:val="60"/>
        </w:rPr>
      </w:pPr>
      <w:r w:rsidRPr="00126374">
        <w:rPr>
          <w:rFonts w:cstheme="minorHAnsi"/>
          <w:b/>
          <w:color w:val="403152" w:themeColor="accent4" w:themeShade="80"/>
          <w:sz w:val="60"/>
          <w:szCs w:val="60"/>
        </w:rPr>
        <w:t xml:space="preserve">SOLICITUDES DE INFORMACIÓN PRESENTADAS </w:t>
      </w:r>
    </w:p>
    <w:p w:rsidR="004239DD" w:rsidRPr="00126374" w:rsidRDefault="00DD75DC" w:rsidP="004239DD">
      <w:pPr>
        <w:jc w:val="center"/>
        <w:rPr>
          <w:rFonts w:cstheme="minorHAnsi"/>
          <w:b/>
          <w:color w:val="403152" w:themeColor="accent4" w:themeShade="80"/>
          <w:sz w:val="60"/>
          <w:szCs w:val="60"/>
        </w:rPr>
      </w:pPr>
      <w:r>
        <w:rPr>
          <w:rFonts w:cstheme="minorHAnsi"/>
          <w:b/>
          <w:color w:val="403152" w:themeColor="accent4" w:themeShade="80"/>
          <w:sz w:val="60"/>
          <w:szCs w:val="60"/>
        </w:rPr>
        <w:t>EN EL AÑO</w:t>
      </w:r>
      <w:r w:rsidR="004239DD" w:rsidRPr="00126374">
        <w:rPr>
          <w:rFonts w:cstheme="minorHAnsi"/>
          <w:b/>
          <w:color w:val="403152" w:themeColor="accent4" w:themeShade="80"/>
          <w:sz w:val="60"/>
          <w:szCs w:val="60"/>
        </w:rPr>
        <w:t xml:space="preserve"> 2015</w:t>
      </w:r>
    </w:p>
    <w:p w:rsidR="00B04D33" w:rsidRPr="00126374" w:rsidRDefault="00B04D33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4239DD" w:rsidRPr="00126374" w:rsidRDefault="004239DD">
      <w:pPr>
        <w:rPr>
          <w:rFonts w:cstheme="minorHAnsi"/>
          <w:b/>
          <w:sz w:val="28"/>
          <w:szCs w:val="28"/>
        </w:rPr>
      </w:pPr>
    </w:p>
    <w:p w:rsidR="004239DD" w:rsidRDefault="004239DD">
      <w:pPr>
        <w:rPr>
          <w:rFonts w:cstheme="minorHAnsi"/>
          <w:b/>
          <w:sz w:val="28"/>
          <w:szCs w:val="28"/>
        </w:rPr>
      </w:pPr>
    </w:p>
    <w:p w:rsidR="003A7219" w:rsidRPr="00126374" w:rsidRDefault="0019559D" w:rsidP="00C8757C">
      <w:pPr>
        <w:jc w:val="center"/>
        <w:rPr>
          <w:rFonts w:cstheme="minorHAnsi"/>
          <w:b/>
          <w:sz w:val="30"/>
          <w:szCs w:val="30"/>
        </w:rPr>
      </w:pPr>
      <w:r w:rsidRPr="00126374">
        <w:rPr>
          <w:rFonts w:cstheme="minorHAnsi"/>
          <w:b/>
          <w:sz w:val="30"/>
          <w:szCs w:val="30"/>
        </w:rPr>
        <w:t>Durante el</w:t>
      </w:r>
      <w:r w:rsidR="004D7579" w:rsidRPr="00126374">
        <w:rPr>
          <w:rFonts w:cstheme="minorHAnsi"/>
          <w:b/>
          <w:sz w:val="30"/>
          <w:szCs w:val="30"/>
        </w:rPr>
        <w:t xml:space="preserve"> año 2015 fueron presentadas 675</w:t>
      </w:r>
      <w:r w:rsidRPr="00126374">
        <w:rPr>
          <w:rFonts w:cstheme="minorHAnsi"/>
          <w:b/>
          <w:sz w:val="30"/>
          <w:szCs w:val="30"/>
        </w:rPr>
        <w:t xml:space="preserve"> solicitudes de </w:t>
      </w:r>
      <w:r w:rsidR="00DD75DC">
        <w:rPr>
          <w:rFonts w:cstheme="minorHAnsi"/>
          <w:b/>
          <w:sz w:val="30"/>
          <w:szCs w:val="30"/>
        </w:rPr>
        <w:t xml:space="preserve">acceso a la </w:t>
      </w:r>
      <w:r w:rsidRPr="00126374">
        <w:rPr>
          <w:rFonts w:cstheme="minorHAnsi"/>
          <w:b/>
          <w:sz w:val="30"/>
          <w:szCs w:val="30"/>
        </w:rPr>
        <w:t>información</w:t>
      </w:r>
      <w:r w:rsidR="00DD75DC">
        <w:rPr>
          <w:rFonts w:cstheme="minorHAnsi"/>
          <w:b/>
          <w:sz w:val="30"/>
          <w:szCs w:val="30"/>
        </w:rPr>
        <w:t xml:space="preserve">, las cuales se presentaron ante la institución </w:t>
      </w:r>
      <w:r w:rsidR="00E518E6" w:rsidRPr="00126374">
        <w:rPr>
          <w:rFonts w:cstheme="minorHAnsi"/>
          <w:b/>
          <w:sz w:val="30"/>
          <w:szCs w:val="30"/>
        </w:rPr>
        <w:t>de la siguiente man</w:t>
      </w:r>
      <w:r w:rsidR="00DD75DC">
        <w:rPr>
          <w:rFonts w:cstheme="minorHAnsi"/>
          <w:b/>
          <w:sz w:val="30"/>
          <w:szCs w:val="30"/>
        </w:rPr>
        <w:t>era</w:t>
      </w:r>
    </w:p>
    <w:p w:rsidR="003A7219" w:rsidRPr="00126374" w:rsidRDefault="003A7219" w:rsidP="0019559D">
      <w:pPr>
        <w:jc w:val="center"/>
        <w:rPr>
          <w:rFonts w:cstheme="minorHAnsi"/>
        </w:rPr>
      </w:pPr>
    </w:p>
    <w:p w:rsidR="00C8757C" w:rsidRPr="00126374" w:rsidRDefault="00C8757C" w:rsidP="0019559D">
      <w:pPr>
        <w:jc w:val="center"/>
        <w:rPr>
          <w:rFonts w:cstheme="minorHAnsi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4572000" cy="27432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8757C" w:rsidRPr="00126374" w:rsidRDefault="00C8757C" w:rsidP="0019559D">
      <w:pPr>
        <w:jc w:val="center"/>
        <w:rPr>
          <w:rFonts w:cstheme="minorHAnsi"/>
        </w:rPr>
      </w:pPr>
    </w:p>
    <w:p w:rsidR="00C8757C" w:rsidRPr="00126374" w:rsidRDefault="00C8757C" w:rsidP="0019559D">
      <w:pPr>
        <w:jc w:val="center"/>
        <w:rPr>
          <w:rFonts w:cstheme="minorHAnsi"/>
        </w:rPr>
      </w:pPr>
    </w:p>
    <w:p w:rsidR="00C8757C" w:rsidRPr="00126374" w:rsidRDefault="00C8757C" w:rsidP="0019559D">
      <w:pPr>
        <w:jc w:val="center"/>
        <w:rPr>
          <w:rFonts w:cstheme="minorHAnsi"/>
        </w:rPr>
      </w:pPr>
    </w:p>
    <w:p w:rsidR="004239DD" w:rsidRPr="00126374" w:rsidRDefault="004239DD" w:rsidP="004D7579">
      <w:pPr>
        <w:jc w:val="center"/>
        <w:rPr>
          <w:rFonts w:cstheme="minorHAnsi"/>
          <w:b/>
          <w:sz w:val="30"/>
          <w:szCs w:val="30"/>
        </w:rPr>
      </w:pPr>
    </w:p>
    <w:p w:rsidR="00D626B7" w:rsidRDefault="00D626B7" w:rsidP="004D7579">
      <w:pPr>
        <w:jc w:val="center"/>
        <w:rPr>
          <w:rFonts w:cstheme="minorHAnsi"/>
          <w:b/>
          <w:sz w:val="30"/>
          <w:szCs w:val="30"/>
        </w:rPr>
      </w:pPr>
    </w:p>
    <w:p w:rsidR="00D626B7" w:rsidRDefault="00D626B7" w:rsidP="004D7579">
      <w:pPr>
        <w:jc w:val="center"/>
        <w:rPr>
          <w:rFonts w:cstheme="minorHAnsi"/>
          <w:b/>
          <w:sz w:val="30"/>
          <w:szCs w:val="30"/>
        </w:rPr>
      </w:pPr>
    </w:p>
    <w:p w:rsidR="004D7579" w:rsidRPr="00126374" w:rsidRDefault="004D7579" w:rsidP="004D7579">
      <w:pPr>
        <w:jc w:val="center"/>
        <w:rPr>
          <w:rFonts w:cstheme="minorHAnsi"/>
          <w:b/>
          <w:sz w:val="30"/>
          <w:szCs w:val="30"/>
        </w:rPr>
      </w:pPr>
      <w:r w:rsidRPr="00126374">
        <w:rPr>
          <w:rFonts w:cstheme="minorHAnsi"/>
          <w:b/>
          <w:sz w:val="30"/>
          <w:szCs w:val="30"/>
        </w:rPr>
        <w:t>Solicitudes de información presentadas vía Sistema Electrónico de Recepción de Solicitudes de Información</w:t>
      </w:r>
      <w:r w:rsidR="008F1720" w:rsidRPr="00126374">
        <w:rPr>
          <w:rFonts w:cstheme="minorHAnsi"/>
          <w:b/>
          <w:sz w:val="30"/>
          <w:szCs w:val="30"/>
        </w:rPr>
        <w:t xml:space="preserve"> SERS</w:t>
      </w:r>
    </w:p>
    <w:p w:rsidR="008F1720" w:rsidRPr="00126374" w:rsidRDefault="008F1720" w:rsidP="009C1FAD">
      <w:pPr>
        <w:jc w:val="both"/>
        <w:rPr>
          <w:rFonts w:cstheme="minorHAnsi"/>
          <w:sz w:val="26"/>
          <w:szCs w:val="26"/>
        </w:rPr>
      </w:pPr>
      <w:r w:rsidRPr="00126374">
        <w:rPr>
          <w:rFonts w:cstheme="minorHAnsi"/>
          <w:sz w:val="26"/>
          <w:szCs w:val="26"/>
        </w:rPr>
        <w:t>Durante el año 2015 se recibieron a través del sistema “SERS” 332 solicitudes de información, el mes de marzo fue el más concurrido por los usuarios</w:t>
      </w:r>
      <w:r w:rsidR="00DD75DC">
        <w:rPr>
          <w:rFonts w:cstheme="minorHAnsi"/>
          <w:sz w:val="26"/>
          <w:szCs w:val="26"/>
        </w:rPr>
        <w:t>,</w:t>
      </w:r>
      <w:r w:rsidRPr="00126374">
        <w:rPr>
          <w:rFonts w:cstheme="minorHAnsi"/>
          <w:sz w:val="26"/>
          <w:szCs w:val="26"/>
        </w:rPr>
        <w:t xml:space="preserve"> c</w:t>
      </w:r>
      <w:r w:rsidR="00DD75DC">
        <w:rPr>
          <w:rFonts w:cstheme="minorHAnsi"/>
          <w:sz w:val="26"/>
          <w:szCs w:val="26"/>
        </w:rPr>
        <w:t>on 67 solicitudes</w:t>
      </w:r>
      <w:r w:rsidRPr="00126374">
        <w:rPr>
          <w:rFonts w:cstheme="minorHAnsi"/>
          <w:sz w:val="26"/>
          <w:szCs w:val="26"/>
        </w:rPr>
        <w:t>.</w:t>
      </w:r>
    </w:p>
    <w:p w:rsidR="008F1720" w:rsidRPr="00126374" w:rsidRDefault="008F1720" w:rsidP="004D7579">
      <w:pPr>
        <w:jc w:val="center"/>
        <w:rPr>
          <w:rFonts w:cstheme="minorHAnsi"/>
          <w:b/>
          <w:sz w:val="30"/>
          <w:szCs w:val="30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4772025" cy="3148013"/>
            <wp:effectExtent l="0" t="0" r="9525" b="1460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F1720" w:rsidRPr="00126374" w:rsidRDefault="008F1720" w:rsidP="004D7579">
      <w:pPr>
        <w:jc w:val="center"/>
        <w:rPr>
          <w:rFonts w:cstheme="minorHAnsi"/>
          <w:b/>
          <w:sz w:val="30"/>
          <w:szCs w:val="30"/>
        </w:rPr>
      </w:pPr>
    </w:p>
    <w:p w:rsidR="004239DD" w:rsidRPr="00126374" w:rsidRDefault="004239DD" w:rsidP="004D7579">
      <w:pPr>
        <w:jc w:val="center"/>
        <w:rPr>
          <w:rFonts w:cstheme="minorHAnsi"/>
          <w:b/>
          <w:sz w:val="30"/>
          <w:szCs w:val="30"/>
        </w:rPr>
      </w:pPr>
    </w:p>
    <w:p w:rsidR="00D90A50" w:rsidRPr="00126374" w:rsidRDefault="00D90A50" w:rsidP="00724D5B">
      <w:pPr>
        <w:jc w:val="center"/>
        <w:rPr>
          <w:rFonts w:cstheme="minorHAnsi"/>
          <w:b/>
          <w:sz w:val="30"/>
          <w:szCs w:val="30"/>
        </w:rPr>
      </w:pPr>
    </w:p>
    <w:p w:rsidR="00D626B7" w:rsidRDefault="00D626B7" w:rsidP="00724D5B">
      <w:pPr>
        <w:jc w:val="center"/>
        <w:rPr>
          <w:rFonts w:cstheme="minorHAnsi"/>
          <w:b/>
          <w:sz w:val="30"/>
          <w:szCs w:val="30"/>
        </w:rPr>
      </w:pPr>
    </w:p>
    <w:p w:rsidR="00724D5B" w:rsidRPr="00126374" w:rsidRDefault="00724D5B" w:rsidP="00724D5B">
      <w:pPr>
        <w:jc w:val="center"/>
        <w:rPr>
          <w:rFonts w:cstheme="minorHAnsi"/>
          <w:b/>
          <w:sz w:val="30"/>
          <w:szCs w:val="30"/>
        </w:rPr>
      </w:pPr>
      <w:r w:rsidRPr="00126374">
        <w:rPr>
          <w:rFonts w:cstheme="minorHAnsi"/>
          <w:b/>
          <w:sz w:val="30"/>
          <w:szCs w:val="30"/>
        </w:rPr>
        <w:t>Solicitudes de información presentadas vía Oficialía de Partes</w:t>
      </w:r>
    </w:p>
    <w:p w:rsidR="00724D5B" w:rsidRPr="00126374" w:rsidRDefault="00DD75DC" w:rsidP="009C1FAD">
      <w:pPr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En</w:t>
      </w:r>
      <w:r w:rsidR="00724D5B" w:rsidRPr="00126374">
        <w:rPr>
          <w:rFonts w:cstheme="minorHAnsi"/>
          <w:sz w:val="26"/>
          <w:szCs w:val="26"/>
        </w:rPr>
        <w:t xml:space="preserve"> 2015 se recibieron a través de la Oficialía de Partes</w:t>
      </w:r>
      <w:r>
        <w:rPr>
          <w:rFonts w:cstheme="minorHAnsi"/>
          <w:sz w:val="26"/>
          <w:szCs w:val="26"/>
        </w:rPr>
        <w:t>,</w:t>
      </w:r>
      <w:r w:rsidR="00724D5B" w:rsidRPr="00126374">
        <w:rPr>
          <w:rFonts w:cstheme="minorHAnsi"/>
          <w:sz w:val="26"/>
          <w:szCs w:val="26"/>
        </w:rPr>
        <w:t xml:space="preserve"> </w:t>
      </w:r>
      <w:r w:rsidR="00D77B4D">
        <w:rPr>
          <w:rFonts w:cstheme="minorHAnsi"/>
          <w:sz w:val="26"/>
          <w:szCs w:val="26"/>
        </w:rPr>
        <w:t>347 solicitudes de información; j</w:t>
      </w:r>
      <w:r w:rsidR="00EB7D8D" w:rsidRPr="00126374">
        <w:rPr>
          <w:rFonts w:cstheme="minorHAnsi"/>
          <w:sz w:val="26"/>
          <w:szCs w:val="26"/>
        </w:rPr>
        <w:t xml:space="preserve">unio </w:t>
      </w:r>
      <w:r>
        <w:rPr>
          <w:rFonts w:cstheme="minorHAnsi"/>
          <w:sz w:val="26"/>
          <w:szCs w:val="26"/>
        </w:rPr>
        <w:t xml:space="preserve">fue </w:t>
      </w:r>
      <w:r w:rsidR="00EB7D8D" w:rsidRPr="00126374">
        <w:rPr>
          <w:rFonts w:cstheme="minorHAnsi"/>
          <w:sz w:val="26"/>
          <w:szCs w:val="26"/>
        </w:rPr>
        <w:t xml:space="preserve">el </w:t>
      </w:r>
      <w:r w:rsidR="00724D5B" w:rsidRPr="00126374">
        <w:rPr>
          <w:rFonts w:cstheme="minorHAnsi"/>
          <w:sz w:val="26"/>
          <w:szCs w:val="26"/>
        </w:rPr>
        <w:t xml:space="preserve">mes </w:t>
      </w:r>
      <w:r w:rsidR="00D77B4D">
        <w:rPr>
          <w:rFonts w:cstheme="minorHAnsi"/>
          <w:sz w:val="26"/>
          <w:szCs w:val="26"/>
        </w:rPr>
        <w:t>con más peticiones, en total 115.  L</w:t>
      </w:r>
      <w:r w:rsidR="00EB7D8D" w:rsidRPr="00126374">
        <w:rPr>
          <w:rFonts w:cstheme="minorHAnsi"/>
          <w:sz w:val="26"/>
          <w:szCs w:val="26"/>
        </w:rPr>
        <w:t>os meses previos a la jornada ele</w:t>
      </w:r>
      <w:r w:rsidR="00D77B4D">
        <w:rPr>
          <w:rFonts w:cstheme="minorHAnsi"/>
          <w:sz w:val="26"/>
          <w:szCs w:val="26"/>
        </w:rPr>
        <w:t>ctoral fueron los que concentraron el mayor porcentaje de</w:t>
      </w:r>
      <w:r w:rsidR="00D626B7">
        <w:rPr>
          <w:rFonts w:cstheme="minorHAnsi"/>
          <w:sz w:val="26"/>
          <w:szCs w:val="26"/>
        </w:rPr>
        <w:t xml:space="preserve"> </w:t>
      </w:r>
      <w:r w:rsidR="00964BAD">
        <w:rPr>
          <w:rFonts w:cstheme="minorHAnsi"/>
          <w:sz w:val="26"/>
          <w:szCs w:val="26"/>
        </w:rPr>
        <w:t>estas.</w:t>
      </w:r>
    </w:p>
    <w:p w:rsidR="00724D5B" w:rsidRPr="00126374" w:rsidRDefault="00724D5B" w:rsidP="00724D5B">
      <w:pPr>
        <w:jc w:val="center"/>
        <w:rPr>
          <w:rFonts w:cstheme="minorHAnsi"/>
          <w:b/>
          <w:sz w:val="30"/>
          <w:szCs w:val="30"/>
        </w:rPr>
      </w:pPr>
    </w:p>
    <w:p w:rsidR="00724D5B" w:rsidRPr="00126374" w:rsidRDefault="00724D5B" w:rsidP="00724D5B">
      <w:pPr>
        <w:jc w:val="center"/>
        <w:rPr>
          <w:rFonts w:cstheme="minorHAnsi"/>
          <w:b/>
          <w:sz w:val="30"/>
          <w:szCs w:val="30"/>
        </w:rPr>
      </w:pPr>
      <w:r w:rsidRPr="00126374">
        <w:rPr>
          <w:rFonts w:cstheme="minorHAnsi"/>
          <w:noProof/>
          <w:lang w:eastAsia="es-MX"/>
        </w:rPr>
        <w:lastRenderedPageBreak/>
        <w:drawing>
          <wp:inline distT="0" distB="0" distL="0" distR="0">
            <wp:extent cx="4572000" cy="2743200"/>
            <wp:effectExtent l="0" t="0" r="19050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A7219" w:rsidRPr="00126374" w:rsidRDefault="003A7219">
      <w:pPr>
        <w:rPr>
          <w:rFonts w:cstheme="minorHAnsi"/>
        </w:rPr>
      </w:pPr>
    </w:p>
    <w:p w:rsidR="00EB7D8D" w:rsidRPr="00126374" w:rsidRDefault="00EB7D8D">
      <w:pPr>
        <w:rPr>
          <w:rFonts w:cstheme="minorHAnsi"/>
        </w:rPr>
      </w:pPr>
    </w:p>
    <w:p w:rsidR="00EB7D8D" w:rsidRPr="00126374" w:rsidRDefault="00EB7D8D" w:rsidP="00EB7D8D">
      <w:pPr>
        <w:jc w:val="center"/>
        <w:rPr>
          <w:rFonts w:cstheme="minorHAnsi"/>
          <w:b/>
          <w:sz w:val="30"/>
          <w:szCs w:val="30"/>
        </w:rPr>
      </w:pPr>
    </w:p>
    <w:p w:rsidR="004239DD" w:rsidRPr="00126374" w:rsidRDefault="004239DD" w:rsidP="00EB7D8D">
      <w:pPr>
        <w:jc w:val="center"/>
        <w:rPr>
          <w:rFonts w:cstheme="minorHAnsi"/>
          <w:b/>
          <w:sz w:val="30"/>
          <w:szCs w:val="30"/>
        </w:rPr>
      </w:pPr>
    </w:p>
    <w:p w:rsidR="00EB7D8D" w:rsidRPr="00126374" w:rsidRDefault="00EB7D8D" w:rsidP="00EB7D8D">
      <w:pPr>
        <w:jc w:val="center"/>
        <w:rPr>
          <w:rFonts w:cstheme="minorHAnsi"/>
          <w:b/>
          <w:sz w:val="30"/>
          <w:szCs w:val="30"/>
        </w:rPr>
      </w:pPr>
      <w:r w:rsidRPr="00126374">
        <w:rPr>
          <w:rFonts w:cstheme="minorHAnsi"/>
          <w:b/>
          <w:sz w:val="30"/>
          <w:szCs w:val="30"/>
        </w:rPr>
        <w:t>Solicitudes de</w:t>
      </w:r>
      <w:r w:rsidR="00A8167D" w:rsidRPr="00126374">
        <w:rPr>
          <w:rFonts w:cstheme="minorHAnsi"/>
          <w:b/>
          <w:sz w:val="30"/>
          <w:szCs w:val="30"/>
        </w:rPr>
        <w:t xml:space="preserve"> protección de datos personales.</w:t>
      </w:r>
    </w:p>
    <w:p w:rsidR="00A8167D" w:rsidRPr="00126374" w:rsidRDefault="00A8167D" w:rsidP="00361FB5">
      <w:pPr>
        <w:ind w:firstLine="708"/>
        <w:jc w:val="both"/>
        <w:rPr>
          <w:rFonts w:cstheme="minorHAnsi"/>
          <w:b/>
          <w:i/>
          <w:sz w:val="30"/>
          <w:szCs w:val="30"/>
        </w:rPr>
      </w:pPr>
      <w:r w:rsidRPr="00126374">
        <w:rPr>
          <w:rFonts w:cstheme="minorHAnsi"/>
          <w:sz w:val="30"/>
          <w:szCs w:val="30"/>
        </w:rPr>
        <w:t>La Ley de Transparencia y Acceso a la Información Pública del Estado de Jalisco y sus Municipios</w:t>
      </w:r>
      <w:r w:rsidR="00361FB5" w:rsidRPr="00126374">
        <w:rPr>
          <w:rFonts w:cstheme="minorHAnsi"/>
          <w:sz w:val="30"/>
          <w:szCs w:val="30"/>
        </w:rPr>
        <w:t>, en su artículo 66</w:t>
      </w:r>
      <w:r w:rsidR="00D626B7">
        <w:rPr>
          <w:rFonts w:cstheme="minorHAnsi"/>
          <w:sz w:val="30"/>
          <w:szCs w:val="30"/>
        </w:rPr>
        <w:t>,</w:t>
      </w:r>
      <w:r w:rsidRPr="00126374">
        <w:rPr>
          <w:rFonts w:cstheme="minorHAnsi"/>
          <w:sz w:val="30"/>
          <w:szCs w:val="30"/>
        </w:rPr>
        <w:t xml:space="preserve"> establece el procedimiento para la protección de información confidencial que deberán observar los sujetos obligados. La pers</w:t>
      </w:r>
      <w:r w:rsidR="00361FB5" w:rsidRPr="00126374">
        <w:rPr>
          <w:rFonts w:cstheme="minorHAnsi"/>
          <w:sz w:val="30"/>
          <w:szCs w:val="30"/>
        </w:rPr>
        <w:t xml:space="preserve">ona que sea titular de la información en posesión de un sujeto </w:t>
      </w:r>
      <w:r w:rsidR="00361FB5" w:rsidRPr="00126374">
        <w:rPr>
          <w:rFonts w:cstheme="minorHAnsi"/>
          <w:sz w:val="30"/>
          <w:szCs w:val="30"/>
        </w:rPr>
        <w:lastRenderedPageBreak/>
        <w:t>obligad</w:t>
      </w:r>
      <w:r w:rsidR="009C1FAD" w:rsidRPr="00126374">
        <w:rPr>
          <w:rFonts w:cstheme="minorHAnsi"/>
          <w:sz w:val="30"/>
          <w:szCs w:val="30"/>
        </w:rPr>
        <w:t>o</w:t>
      </w:r>
      <w:r w:rsidR="00361FB5" w:rsidRPr="00126374">
        <w:rPr>
          <w:rFonts w:cstheme="minorHAnsi"/>
          <w:sz w:val="30"/>
          <w:szCs w:val="30"/>
        </w:rPr>
        <w:t>, puede s</w:t>
      </w:r>
      <w:r w:rsidR="009C1FAD" w:rsidRPr="00126374">
        <w:rPr>
          <w:rFonts w:cstheme="minorHAnsi"/>
          <w:sz w:val="30"/>
          <w:szCs w:val="30"/>
        </w:rPr>
        <w:t>olicitar ante la institución que resguarda los datos personales</w:t>
      </w:r>
      <w:r w:rsidR="00361FB5" w:rsidRPr="00126374">
        <w:rPr>
          <w:rFonts w:cstheme="minorHAnsi"/>
          <w:sz w:val="30"/>
          <w:szCs w:val="30"/>
        </w:rPr>
        <w:t xml:space="preserve"> en cualquier tiempo su </w:t>
      </w:r>
      <w:r w:rsidR="00361FB5" w:rsidRPr="00126374">
        <w:rPr>
          <w:rFonts w:cstheme="minorHAnsi"/>
          <w:b/>
          <w:i/>
          <w:sz w:val="30"/>
          <w:szCs w:val="30"/>
        </w:rPr>
        <w:t>acceso, clasificación, rectificación, oposición, modificación, corrección, sustitución, cancelación o ampliación de datos.</w:t>
      </w:r>
    </w:p>
    <w:p w:rsidR="00D40E40" w:rsidRPr="00126374" w:rsidRDefault="00D40E40" w:rsidP="00361FB5">
      <w:pPr>
        <w:ind w:firstLine="708"/>
        <w:jc w:val="both"/>
        <w:rPr>
          <w:rFonts w:cstheme="minorHAnsi"/>
          <w:b/>
          <w:i/>
          <w:sz w:val="30"/>
          <w:szCs w:val="30"/>
        </w:rPr>
      </w:pPr>
    </w:p>
    <w:p w:rsidR="00D40E40" w:rsidRPr="00126374" w:rsidRDefault="00B04D33" w:rsidP="00C35286">
      <w:pPr>
        <w:jc w:val="both"/>
        <w:rPr>
          <w:rFonts w:cstheme="minorHAnsi"/>
          <w:sz w:val="30"/>
          <w:szCs w:val="30"/>
        </w:rPr>
      </w:pPr>
      <w:r w:rsidRPr="00126374">
        <w:rPr>
          <w:rFonts w:cstheme="minorHAnsi"/>
          <w:sz w:val="30"/>
          <w:szCs w:val="30"/>
        </w:rPr>
        <w:t>Durante el año 2015 fueron presentadas ante este instituto electoral</w:t>
      </w:r>
      <w:r w:rsidR="00D626B7">
        <w:rPr>
          <w:rFonts w:cstheme="minorHAnsi"/>
          <w:sz w:val="30"/>
          <w:szCs w:val="30"/>
        </w:rPr>
        <w:t>,</w:t>
      </w:r>
      <w:r w:rsidRPr="00126374">
        <w:rPr>
          <w:rFonts w:cstheme="minorHAnsi"/>
          <w:sz w:val="30"/>
          <w:szCs w:val="30"/>
        </w:rPr>
        <w:t xml:space="preserve"> 2 solicitudes de protección de datos personales.</w:t>
      </w:r>
    </w:p>
    <w:p w:rsidR="00B04D33" w:rsidRPr="00126374" w:rsidRDefault="00B04D33" w:rsidP="00C35286">
      <w:pPr>
        <w:jc w:val="both"/>
        <w:rPr>
          <w:rFonts w:cstheme="minorHAnsi"/>
          <w:sz w:val="30"/>
          <w:szCs w:val="30"/>
        </w:rPr>
      </w:pPr>
    </w:p>
    <w:p w:rsidR="00B04D33" w:rsidRPr="00126374" w:rsidRDefault="00B04D33" w:rsidP="00C35286">
      <w:pPr>
        <w:jc w:val="both"/>
        <w:rPr>
          <w:rFonts w:cstheme="minorHAnsi"/>
          <w:sz w:val="30"/>
          <w:szCs w:val="30"/>
        </w:rPr>
      </w:pPr>
    </w:p>
    <w:p w:rsidR="00B04D33" w:rsidRPr="00126374" w:rsidRDefault="00B04D33" w:rsidP="00C35286">
      <w:pPr>
        <w:jc w:val="both"/>
        <w:rPr>
          <w:rFonts w:cstheme="minorHAnsi"/>
          <w:sz w:val="30"/>
          <w:szCs w:val="30"/>
        </w:rPr>
      </w:pPr>
    </w:p>
    <w:p w:rsidR="00B04D33" w:rsidRPr="00126374" w:rsidRDefault="00B04D33" w:rsidP="00C35286">
      <w:pPr>
        <w:jc w:val="both"/>
        <w:rPr>
          <w:rFonts w:cstheme="minorHAnsi"/>
          <w:sz w:val="30"/>
          <w:szCs w:val="30"/>
        </w:rPr>
      </w:pPr>
    </w:p>
    <w:p w:rsidR="00B04D33" w:rsidRPr="00126374" w:rsidRDefault="00B04D33" w:rsidP="00C35286">
      <w:pPr>
        <w:jc w:val="both"/>
        <w:rPr>
          <w:rFonts w:cstheme="minorHAnsi"/>
          <w:sz w:val="30"/>
          <w:szCs w:val="30"/>
        </w:rPr>
      </w:pPr>
    </w:p>
    <w:p w:rsidR="004239DD" w:rsidRPr="00126374" w:rsidRDefault="004239DD" w:rsidP="004239DD">
      <w:pPr>
        <w:jc w:val="center"/>
        <w:rPr>
          <w:rFonts w:cstheme="minorHAnsi"/>
          <w:b/>
          <w:sz w:val="60"/>
          <w:szCs w:val="60"/>
        </w:rPr>
      </w:pPr>
      <w:r w:rsidRPr="00126374">
        <w:rPr>
          <w:rFonts w:cstheme="minorHAnsi"/>
          <w:b/>
          <w:sz w:val="60"/>
          <w:szCs w:val="60"/>
        </w:rPr>
        <w:t>Programa:</w:t>
      </w:r>
    </w:p>
    <w:p w:rsidR="00B04D33" w:rsidRPr="00D626B7" w:rsidRDefault="00B04D33" w:rsidP="00D626B7">
      <w:pPr>
        <w:jc w:val="center"/>
        <w:rPr>
          <w:b/>
          <w:sz w:val="44"/>
          <w:szCs w:val="44"/>
        </w:rPr>
      </w:pPr>
      <w:r w:rsidRPr="00D626B7">
        <w:rPr>
          <w:b/>
          <w:sz w:val="44"/>
          <w:szCs w:val="44"/>
        </w:rPr>
        <w:t>ATENCIÓN A RECURSOS DE REVISIÓN</w:t>
      </w:r>
      <w:r w:rsidR="00E518E6" w:rsidRPr="00D626B7">
        <w:rPr>
          <w:b/>
          <w:sz w:val="44"/>
          <w:szCs w:val="44"/>
        </w:rPr>
        <w:t xml:space="preserve"> Y TRANSPARENCIA</w:t>
      </w:r>
    </w:p>
    <w:p w:rsidR="00EB7D8D" w:rsidRPr="00126374" w:rsidRDefault="00EB7D8D">
      <w:pPr>
        <w:rPr>
          <w:rFonts w:cstheme="minorHAnsi"/>
        </w:rPr>
      </w:pPr>
    </w:p>
    <w:p w:rsidR="00B04D33" w:rsidRPr="00D8742E" w:rsidRDefault="00D8742E" w:rsidP="00D8742E">
      <w:pPr>
        <w:jc w:val="both"/>
        <w:rPr>
          <w:rFonts w:cstheme="minorHAnsi"/>
          <w:b/>
          <w:sz w:val="30"/>
          <w:szCs w:val="30"/>
        </w:rPr>
      </w:pPr>
      <w:r w:rsidRPr="00D8742E">
        <w:rPr>
          <w:rFonts w:cstheme="minorHAnsi"/>
          <w:b/>
          <w:sz w:val="30"/>
          <w:szCs w:val="30"/>
        </w:rPr>
        <w:lastRenderedPageBreak/>
        <w:t xml:space="preserve">Objetivo: </w:t>
      </w:r>
      <w:r w:rsidRPr="00604839">
        <w:rPr>
          <w:rFonts w:cstheme="minorHAnsi"/>
          <w:sz w:val="30"/>
          <w:szCs w:val="30"/>
        </w:rPr>
        <w:t>Cumplir con lo dispuesto en la Ley de Transparencia y Acceso a la Información Pública del Estado de Jalisco y sus Municipios</w:t>
      </w:r>
      <w:r w:rsidRPr="00D8742E">
        <w:rPr>
          <w:rFonts w:cstheme="minorHAnsi"/>
          <w:b/>
          <w:sz w:val="30"/>
          <w:szCs w:val="30"/>
        </w:rPr>
        <w:t>.</w:t>
      </w:r>
    </w:p>
    <w:p w:rsidR="00D8742E" w:rsidRPr="00604839" w:rsidRDefault="00D8742E" w:rsidP="00D8742E">
      <w:pPr>
        <w:jc w:val="both"/>
        <w:rPr>
          <w:rFonts w:cstheme="minorHAnsi"/>
          <w:sz w:val="30"/>
          <w:szCs w:val="30"/>
        </w:rPr>
      </w:pPr>
      <w:r w:rsidRPr="00D8742E">
        <w:rPr>
          <w:rFonts w:cstheme="minorHAnsi"/>
          <w:b/>
          <w:sz w:val="30"/>
          <w:szCs w:val="30"/>
        </w:rPr>
        <w:t xml:space="preserve">Objetivo específico: </w:t>
      </w:r>
      <w:r w:rsidRPr="00604839">
        <w:rPr>
          <w:rFonts w:cstheme="minorHAnsi"/>
          <w:sz w:val="30"/>
          <w:szCs w:val="30"/>
        </w:rPr>
        <w:t>Atender los procedimientos correspondientes de acuerdo a las formas en que se haya presentado el recurso de revisión (Oficialía de Partes vía SERS).</w:t>
      </w:r>
    </w:p>
    <w:p w:rsidR="00B04D33" w:rsidRPr="00D8742E" w:rsidRDefault="00B04D33" w:rsidP="00D8742E">
      <w:pPr>
        <w:jc w:val="both"/>
        <w:rPr>
          <w:rFonts w:cstheme="minorHAnsi"/>
          <w:b/>
          <w:sz w:val="30"/>
          <w:szCs w:val="30"/>
        </w:rPr>
      </w:pPr>
    </w:p>
    <w:p w:rsidR="00B04D33" w:rsidRPr="00126374" w:rsidRDefault="00B04D33">
      <w:pPr>
        <w:rPr>
          <w:rFonts w:cstheme="minorHAnsi"/>
        </w:rPr>
      </w:pPr>
    </w:p>
    <w:p w:rsidR="00B04D33" w:rsidRPr="00126374" w:rsidRDefault="00B04D33">
      <w:pPr>
        <w:rPr>
          <w:rFonts w:cstheme="minorHAnsi"/>
        </w:rPr>
      </w:pPr>
    </w:p>
    <w:p w:rsidR="00B04D33" w:rsidRPr="00126374" w:rsidRDefault="00B04D33">
      <w:pPr>
        <w:rPr>
          <w:rFonts w:cstheme="minorHAnsi"/>
        </w:rPr>
      </w:pPr>
    </w:p>
    <w:p w:rsidR="00B04D33" w:rsidRPr="00126374" w:rsidRDefault="00B04D33">
      <w:pPr>
        <w:rPr>
          <w:rFonts w:cstheme="minorHAnsi"/>
        </w:rPr>
      </w:pPr>
    </w:p>
    <w:p w:rsidR="00B04D33" w:rsidRPr="00126374" w:rsidRDefault="00B04D33">
      <w:pPr>
        <w:rPr>
          <w:rFonts w:cstheme="minorHAnsi"/>
        </w:rPr>
      </w:pPr>
    </w:p>
    <w:p w:rsidR="006B5B46" w:rsidRPr="00126374" w:rsidRDefault="006B5B46" w:rsidP="00AE36A7">
      <w:pPr>
        <w:jc w:val="center"/>
        <w:rPr>
          <w:rFonts w:cstheme="minorHAnsi"/>
          <w:b/>
          <w:sz w:val="40"/>
          <w:szCs w:val="40"/>
        </w:rPr>
      </w:pPr>
      <w:r w:rsidRPr="00126374">
        <w:rPr>
          <w:rFonts w:cstheme="minorHAnsi"/>
          <w:b/>
          <w:sz w:val="40"/>
          <w:szCs w:val="40"/>
        </w:rPr>
        <w:t>TIPOS:</w:t>
      </w:r>
    </w:p>
    <w:p w:rsidR="006B5B46" w:rsidRPr="00126374" w:rsidRDefault="006B5B46" w:rsidP="00DA7245">
      <w:pPr>
        <w:jc w:val="both"/>
        <w:rPr>
          <w:rFonts w:cstheme="minorHAnsi"/>
          <w:sz w:val="24"/>
          <w:szCs w:val="24"/>
        </w:rPr>
      </w:pPr>
      <w:r w:rsidRPr="00126374">
        <w:rPr>
          <w:rFonts w:cstheme="minorHAnsi"/>
          <w:b/>
          <w:sz w:val="40"/>
          <w:szCs w:val="40"/>
        </w:rPr>
        <w:t>Recurso de revisión:</w:t>
      </w:r>
      <w:r w:rsidRPr="00126374">
        <w:rPr>
          <w:rFonts w:cstheme="minorHAnsi"/>
          <w:b/>
          <w:sz w:val="24"/>
          <w:szCs w:val="24"/>
        </w:rPr>
        <w:t xml:space="preserve"> </w:t>
      </w:r>
      <w:r w:rsidRPr="00126374">
        <w:rPr>
          <w:rFonts w:cstheme="minorHAnsi"/>
          <w:sz w:val="26"/>
          <w:szCs w:val="26"/>
        </w:rPr>
        <w:t>El recurso de revisión tiene por objeto que el Instituto de Transparencia, revise la respuesta del sujeto obligado sobre la procedencia de las solicitudes de información pública y resuelva con plenitud de jurisdicción lo conducente</w:t>
      </w:r>
      <w:r w:rsidR="00604839">
        <w:rPr>
          <w:rFonts w:cstheme="minorHAnsi"/>
          <w:sz w:val="26"/>
          <w:szCs w:val="26"/>
        </w:rPr>
        <w:t>. Entre las causas de incumplimiento en que puede incurrir un sujeto obligado, se encuentran las siguientes:  Que</w:t>
      </w:r>
      <w:r w:rsidR="00DA7245" w:rsidRPr="00126374">
        <w:rPr>
          <w:rFonts w:cstheme="minorHAnsi"/>
          <w:sz w:val="26"/>
          <w:szCs w:val="26"/>
        </w:rPr>
        <w:t xml:space="preserve"> no resuel</w:t>
      </w:r>
      <w:r w:rsidRPr="00126374">
        <w:rPr>
          <w:rFonts w:cstheme="minorHAnsi"/>
          <w:sz w:val="26"/>
          <w:szCs w:val="26"/>
        </w:rPr>
        <w:t xml:space="preserve">ve una solicitud  en el plazo que establece la ley;  no notifica la respuesta de una solicitud en el plazo establecido, niega total o parcialmente el acceso a información pública no clasificada como confidencial o reservada; </w:t>
      </w:r>
      <w:r w:rsidRPr="00126374">
        <w:rPr>
          <w:rFonts w:cstheme="minorHAnsi"/>
          <w:sz w:val="26"/>
          <w:szCs w:val="26"/>
        </w:rPr>
        <w:lastRenderedPageBreak/>
        <w:t>niega total o parcialmente el acceso a la información pública clasificada  indebidamente inexistente y el solicitante</w:t>
      </w:r>
      <w:r w:rsidR="00DA7245" w:rsidRPr="00126374">
        <w:rPr>
          <w:rFonts w:cstheme="minorHAnsi"/>
          <w:sz w:val="26"/>
          <w:szCs w:val="26"/>
        </w:rPr>
        <w:t xml:space="preserve"> anexe elementos indubitables de prueba de su existencia</w:t>
      </w:r>
      <w:r w:rsidR="00604839">
        <w:rPr>
          <w:rFonts w:cstheme="minorHAnsi"/>
          <w:sz w:val="26"/>
          <w:szCs w:val="26"/>
        </w:rPr>
        <w:t>,</w:t>
      </w:r>
      <w:r w:rsidR="00DA7245" w:rsidRPr="00126374">
        <w:rPr>
          <w:rFonts w:cstheme="minorHAnsi"/>
          <w:sz w:val="26"/>
          <w:szCs w:val="26"/>
        </w:rPr>
        <w:t xml:space="preserve"> entre otros</w:t>
      </w:r>
      <w:r w:rsidR="00DA7245" w:rsidRPr="00126374">
        <w:rPr>
          <w:rStyle w:val="Refdenotaalpie"/>
          <w:rFonts w:cstheme="minorHAnsi"/>
          <w:sz w:val="26"/>
          <w:szCs w:val="26"/>
        </w:rPr>
        <w:footnoteReference w:id="1"/>
      </w:r>
    </w:p>
    <w:p w:rsidR="006B5B46" w:rsidRPr="00126374" w:rsidRDefault="006B5B46">
      <w:pPr>
        <w:rPr>
          <w:rFonts w:cstheme="minorHAnsi"/>
        </w:rPr>
      </w:pPr>
    </w:p>
    <w:p w:rsidR="006B5B46" w:rsidRPr="00126374" w:rsidRDefault="00DA7245" w:rsidP="00AE36A7">
      <w:pPr>
        <w:jc w:val="both"/>
        <w:rPr>
          <w:rFonts w:cstheme="minorHAnsi"/>
          <w:sz w:val="26"/>
          <w:szCs w:val="26"/>
        </w:rPr>
      </w:pPr>
      <w:r w:rsidRPr="00126374">
        <w:rPr>
          <w:rFonts w:cstheme="minorHAnsi"/>
          <w:b/>
          <w:sz w:val="40"/>
          <w:szCs w:val="40"/>
        </w:rPr>
        <w:t xml:space="preserve">Recurso </w:t>
      </w:r>
      <w:r w:rsidR="00C10B20" w:rsidRPr="00126374">
        <w:rPr>
          <w:rFonts w:cstheme="minorHAnsi"/>
          <w:b/>
          <w:sz w:val="40"/>
          <w:szCs w:val="40"/>
        </w:rPr>
        <w:t>de Transparencia</w:t>
      </w:r>
      <w:r w:rsidRPr="00126374">
        <w:rPr>
          <w:rFonts w:cstheme="minorHAnsi"/>
          <w:b/>
          <w:sz w:val="40"/>
          <w:szCs w:val="40"/>
        </w:rPr>
        <w:t>:</w:t>
      </w:r>
      <w:r w:rsidR="00AE36A7" w:rsidRPr="00126374">
        <w:rPr>
          <w:rFonts w:cstheme="minorHAnsi"/>
        </w:rPr>
        <w:t xml:space="preserve"> </w:t>
      </w:r>
      <w:r w:rsidR="00AE36A7" w:rsidRPr="00126374">
        <w:rPr>
          <w:rFonts w:cstheme="minorHAnsi"/>
          <w:sz w:val="26"/>
          <w:szCs w:val="26"/>
        </w:rPr>
        <w:t>U</w:t>
      </w:r>
      <w:r w:rsidR="00C10B20" w:rsidRPr="00126374">
        <w:rPr>
          <w:rFonts w:cstheme="minorHAnsi"/>
          <w:sz w:val="26"/>
          <w:szCs w:val="26"/>
        </w:rPr>
        <w:t>tilizado para denunciar la falta de transparencia de un sujeto obligado, cuando no publique la información fundamental establecida en el artículo 8° y el artículo 14</w:t>
      </w:r>
      <w:r w:rsidR="00AE36A7" w:rsidRPr="00126374">
        <w:rPr>
          <w:rFonts w:cstheme="minorHAnsi"/>
          <w:sz w:val="26"/>
          <w:szCs w:val="26"/>
        </w:rPr>
        <w:t xml:space="preserve"> para el caso específico de este organismo electoral,</w:t>
      </w:r>
      <w:r w:rsidR="00C10B20" w:rsidRPr="00126374">
        <w:rPr>
          <w:rFonts w:cstheme="minorHAnsi"/>
          <w:sz w:val="26"/>
          <w:szCs w:val="26"/>
        </w:rPr>
        <w:t xml:space="preserve"> de la Ley de Transparencia y Acceso a la Información Pública del Estado de Jalisco y sus Municipios .</w:t>
      </w:r>
    </w:p>
    <w:p w:rsidR="00302252" w:rsidRPr="00126374" w:rsidRDefault="00302252">
      <w:pPr>
        <w:rPr>
          <w:rFonts w:cstheme="minorHAnsi"/>
          <w:b/>
        </w:rPr>
      </w:pPr>
    </w:p>
    <w:p w:rsidR="006B5B46" w:rsidRPr="00126374" w:rsidRDefault="006B5B46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E518E6" w:rsidRPr="00126374" w:rsidRDefault="00E518E6" w:rsidP="00AE36A7">
      <w:pPr>
        <w:rPr>
          <w:rFonts w:cstheme="minorHAnsi"/>
          <w:b/>
        </w:rPr>
      </w:pPr>
    </w:p>
    <w:p w:rsidR="00AE36A7" w:rsidRPr="00126374" w:rsidRDefault="00AE36A7" w:rsidP="00AE36A7">
      <w:pPr>
        <w:rPr>
          <w:rFonts w:cstheme="minorHAnsi"/>
          <w:b/>
          <w:sz w:val="28"/>
          <w:szCs w:val="28"/>
        </w:rPr>
      </w:pPr>
      <w:r w:rsidRPr="00126374">
        <w:rPr>
          <w:rFonts w:cstheme="minorHAnsi"/>
          <w:b/>
          <w:sz w:val="28"/>
          <w:szCs w:val="28"/>
        </w:rPr>
        <w:t>Durante el año 2015, se presentaron ante la unidad de transparencia 7 recursos de revisión y 2 recursos de transparencia:</w:t>
      </w:r>
    </w:p>
    <w:p w:rsidR="00E518E6" w:rsidRPr="00126374" w:rsidRDefault="000469FC" w:rsidP="000469FC">
      <w:pPr>
        <w:jc w:val="center"/>
        <w:rPr>
          <w:rFonts w:cstheme="minorHAnsi"/>
          <w:b/>
        </w:rPr>
      </w:pPr>
      <w:r w:rsidRPr="00126374">
        <w:rPr>
          <w:rFonts w:cstheme="minorHAnsi"/>
          <w:noProof/>
          <w:lang w:eastAsia="es-MX"/>
        </w:rPr>
        <w:lastRenderedPageBreak/>
        <w:drawing>
          <wp:inline distT="0" distB="0" distL="0" distR="0">
            <wp:extent cx="4572000" cy="2743200"/>
            <wp:effectExtent l="0" t="0" r="19050" b="190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518E6" w:rsidRPr="00126374" w:rsidRDefault="00E518E6" w:rsidP="00AE36A7">
      <w:pPr>
        <w:rPr>
          <w:rFonts w:cstheme="minorHAnsi"/>
          <w:b/>
        </w:rPr>
      </w:pPr>
    </w:p>
    <w:p w:rsidR="00E518E6" w:rsidRPr="00126374" w:rsidRDefault="00E518E6" w:rsidP="00AE36A7">
      <w:pPr>
        <w:rPr>
          <w:rFonts w:cstheme="minorHAnsi"/>
          <w:b/>
        </w:rPr>
      </w:pPr>
    </w:p>
    <w:p w:rsidR="00E518E6" w:rsidRPr="00126374" w:rsidRDefault="00E518E6" w:rsidP="00AE36A7">
      <w:pPr>
        <w:rPr>
          <w:rFonts w:cstheme="minorHAnsi"/>
          <w:b/>
        </w:rPr>
      </w:pPr>
    </w:p>
    <w:p w:rsidR="00E518E6" w:rsidRPr="00126374" w:rsidRDefault="00E518E6" w:rsidP="00AE36A7">
      <w:pPr>
        <w:rPr>
          <w:rFonts w:cstheme="minorHAnsi"/>
          <w:b/>
        </w:rPr>
      </w:pPr>
    </w:p>
    <w:p w:rsidR="00E518E6" w:rsidRPr="00126374" w:rsidRDefault="00E518E6" w:rsidP="00AE36A7">
      <w:pPr>
        <w:rPr>
          <w:rFonts w:cstheme="minorHAnsi"/>
          <w:b/>
        </w:rPr>
      </w:pPr>
    </w:p>
    <w:p w:rsidR="00AE36A7" w:rsidRPr="00126374" w:rsidRDefault="00AE36A7">
      <w:pPr>
        <w:rPr>
          <w:rFonts w:cstheme="minorHAnsi"/>
        </w:rPr>
      </w:pPr>
    </w:p>
    <w:tbl>
      <w:tblPr>
        <w:tblpPr w:leftFromText="141" w:rightFromText="141" w:bottomFromText="155" w:vertAnchor="text" w:tblpXSpec="center"/>
        <w:tblW w:w="0" w:type="auto"/>
        <w:tblCellMar>
          <w:left w:w="0" w:type="dxa"/>
          <w:right w:w="0" w:type="dxa"/>
        </w:tblCellMar>
        <w:tblLook w:val="04A0"/>
      </w:tblPr>
      <w:tblGrid>
        <w:gridCol w:w="4846"/>
        <w:gridCol w:w="4847"/>
      </w:tblGrid>
      <w:tr w:rsidR="00AE36A7" w:rsidRPr="00126374" w:rsidTr="001437E8">
        <w:tc>
          <w:tcPr>
            <w:tcW w:w="484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604839" w:rsidP="001437E8">
            <w:pPr>
              <w:spacing w:after="0" w:line="48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Resolución de </w:t>
            </w:r>
            <w:r w:rsidR="00AE36A7" w:rsidRPr="00126374">
              <w:rPr>
                <w:rFonts w:cstheme="minorHAnsi"/>
                <w:b/>
                <w:sz w:val="24"/>
                <w:szCs w:val="24"/>
              </w:rPr>
              <w:t>Recursos de Revisión</w:t>
            </w:r>
          </w:p>
        </w:tc>
        <w:tc>
          <w:tcPr>
            <w:tcW w:w="4847" w:type="dxa"/>
            <w:tcBorders>
              <w:top w:val="single" w:sz="8" w:space="0" w:color="9F8AB9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604839" w:rsidP="001437E8">
            <w:pPr>
              <w:spacing w:after="0" w:line="48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Resolución de </w:t>
            </w:r>
            <w:r w:rsidR="00AE36A7" w:rsidRPr="00126374">
              <w:rPr>
                <w:rFonts w:cstheme="minorHAnsi"/>
                <w:b/>
                <w:sz w:val="24"/>
                <w:szCs w:val="24"/>
              </w:rPr>
              <w:t>Recursos de Transparencia</w:t>
            </w:r>
          </w:p>
        </w:tc>
      </w:tr>
      <w:tr w:rsidR="00AE36A7" w:rsidRPr="00126374" w:rsidTr="001437E8">
        <w:tc>
          <w:tcPr>
            <w:tcW w:w="4846" w:type="dxa"/>
            <w:tcBorders>
              <w:top w:val="nil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t xml:space="preserve">Recurso de revisión 505/2015  Octubre 2015/ </w:t>
            </w:r>
            <w:r w:rsidRPr="00126374">
              <w:rPr>
                <w:rFonts w:cstheme="minorHAnsi"/>
                <w:sz w:val="24"/>
                <w:szCs w:val="24"/>
              </w:rPr>
              <w:lastRenderedPageBreak/>
              <w:t>Resulta fundado el presente recurso de revisión pero inoperante, dado que durante la substanciación del medio de defensa le fue entregada la información solicitada.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26374">
              <w:rPr>
                <w:rFonts w:cstheme="minorHAnsi"/>
                <w:bCs/>
                <w:sz w:val="24"/>
                <w:szCs w:val="24"/>
              </w:rPr>
              <w:lastRenderedPageBreak/>
              <w:t xml:space="preserve">Recurso de transparencia 041/2014/ 24 </w:t>
            </w:r>
            <w:r w:rsidRPr="00126374">
              <w:rPr>
                <w:rFonts w:cstheme="minorHAnsi"/>
                <w:bCs/>
                <w:sz w:val="24"/>
                <w:szCs w:val="24"/>
              </w:rPr>
              <w:lastRenderedPageBreak/>
              <w:t>Noviembre 2014/ Se tiene al sujeto obligado cumpliendo la publicación de la información fundamental que le corresponde.</w:t>
            </w:r>
          </w:p>
        </w:tc>
      </w:tr>
      <w:tr w:rsidR="00AE36A7" w:rsidRPr="00126374" w:rsidTr="001437E8">
        <w:tc>
          <w:tcPr>
            <w:tcW w:w="4846" w:type="dxa"/>
            <w:tcBorders>
              <w:top w:val="nil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lastRenderedPageBreak/>
              <w:t>Recurso de revisión 032/2015 Enero 2015/ se sobresee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26374">
              <w:rPr>
                <w:rFonts w:cstheme="minorHAnsi"/>
                <w:bCs/>
                <w:sz w:val="24"/>
                <w:szCs w:val="24"/>
              </w:rPr>
              <w:t>Recurso de transparencia 184/2015 19 Marzo 2015/.     Se declara infundado y se tiene por cumplido al sujeto obligado con relación a la publicación de información en su página de internet.</w:t>
            </w:r>
          </w:p>
        </w:tc>
      </w:tr>
      <w:tr w:rsidR="00AE36A7" w:rsidRPr="00126374" w:rsidTr="001437E8">
        <w:tc>
          <w:tcPr>
            <w:tcW w:w="4846" w:type="dxa"/>
            <w:tcBorders>
              <w:top w:val="nil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t xml:space="preserve">Recurso de revisión 085/2015 Enero 2015/ </w:t>
            </w:r>
            <w:r w:rsidRPr="00126374">
              <w:rPr>
                <w:rFonts w:cstheme="minorHAnsi"/>
                <w:i/>
                <w:iCs/>
                <w:sz w:val="24"/>
                <w:szCs w:val="24"/>
              </w:rPr>
              <w:t>Se sobresee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E36A7" w:rsidRPr="00126374" w:rsidTr="001437E8">
        <w:tc>
          <w:tcPr>
            <w:tcW w:w="4846" w:type="dxa"/>
            <w:tcBorders>
              <w:top w:val="nil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t>Recurso de revisión 335/2015/ Marzo 2015</w:t>
            </w:r>
            <w:r w:rsidRPr="00126374">
              <w:rPr>
                <w:rFonts w:cstheme="minorHAnsi"/>
                <w:i/>
                <w:iCs/>
                <w:sz w:val="24"/>
                <w:szCs w:val="24"/>
              </w:rPr>
              <w:t>/ Se sobresee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6A7" w:rsidRPr="00126374" w:rsidRDefault="00AE36A7" w:rsidP="001437E8">
            <w:pPr>
              <w:spacing w:after="0"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E36A7" w:rsidRPr="00126374" w:rsidTr="001437E8">
        <w:tc>
          <w:tcPr>
            <w:tcW w:w="4846" w:type="dxa"/>
            <w:tcBorders>
              <w:top w:val="nil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t xml:space="preserve">Recurso de revisión 32/2015/ se sobresee  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6A7" w:rsidRPr="00126374" w:rsidRDefault="00AE36A7" w:rsidP="001437E8">
            <w:pPr>
              <w:spacing w:after="0"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E36A7" w:rsidRPr="00126374" w:rsidTr="001437E8">
        <w:tc>
          <w:tcPr>
            <w:tcW w:w="4846" w:type="dxa"/>
            <w:tcBorders>
              <w:top w:val="nil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t>Recurso de revisión 391/2015/ 2015/</w:t>
            </w:r>
          </w:p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t>se sobresee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DFD8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6A7" w:rsidRPr="00126374" w:rsidRDefault="00AE36A7" w:rsidP="001437E8">
            <w:pPr>
              <w:spacing w:after="0"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E36A7" w:rsidRPr="00126374" w:rsidTr="001437E8">
        <w:tc>
          <w:tcPr>
            <w:tcW w:w="4846" w:type="dxa"/>
            <w:tcBorders>
              <w:top w:val="nil"/>
              <w:left w:val="single" w:sz="8" w:space="0" w:color="9F8AB9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6A7" w:rsidRPr="00126374" w:rsidRDefault="00AE36A7" w:rsidP="001437E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126374">
              <w:rPr>
                <w:rFonts w:cstheme="minorHAnsi"/>
                <w:sz w:val="24"/>
                <w:szCs w:val="24"/>
              </w:rPr>
              <w:t>Recurso de revisión 515/2015 /se sobresee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BFB1D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6A7" w:rsidRPr="00126374" w:rsidRDefault="00AE36A7" w:rsidP="001437E8">
            <w:pPr>
              <w:spacing w:after="0"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AE36A7" w:rsidRPr="00126374" w:rsidRDefault="00AE36A7">
      <w:pPr>
        <w:rPr>
          <w:rFonts w:cstheme="minorHAnsi"/>
        </w:rPr>
      </w:pPr>
    </w:p>
    <w:p w:rsidR="00942545" w:rsidRPr="00126374" w:rsidRDefault="00942545">
      <w:pPr>
        <w:rPr>
          <w:rFonts w:cstheme="minorHAnsi"/>
        </w:rPr>
      </w:pPr>
    </w:p>
    <w:p w:rsidR="003A3271" w:rsidRPr="00126374" w:rsidRDefault="003A3271">
      <w:pPr>
        <w:rPr>
          <w:rFonts w:cstheme="minorHAnsi"/>
          <w:sz w:val="30"/>
          <w:szCs w:val="30"/>
        </w:rPr>
      </w:pPr>
      <w:r w:rsidRPr="00126374">
        <w:rPr>
          <w:rFonts w:cstheme="minorHAnsi"/>
          <w:sz w:val="30"/>
          <w:szCs w:val="30"/>
        </w:rPr>
        <w:lastRenderedPageBreak/>
        <w:t>El 1.04% de la ciudadanía que presentó solicitudes de información durante el año 2015 se inconformó por la respuesta que emitió la unidad de transparencia e información</w:t>
      </w:r>
      <w:r w:rsidR="003A09A7" w:rsidRPr="00126374">
        <w:rPr>
          <w:rFonts w:cstheme="minorHAnsi"/>
          <w:sz w:val="30"/>
          <w:szCs w:val="30"/>
        </w:rPr>
        <w:t xml:space="preserve"> del IEPC</w:t>
      </w:r>
      <w:r w:rsidR="00942545" w:rsidRPr="00126374">
        <w:rPr>
          <w:rFonts w:cstheme="minorHAnsi"/>
          <w:sz w:val="30"/>
          <w:szCs w:val="30"/>
        </w:rPr>
        <w:t xml:space="preserve">, </w:t>
      </w:r>
      <w:r w:rsidR="00604839">
        <w:rPr>
          <w:rFonts w:cstheme="minorHAnsi"/>
          <w:sz w:val="30"/>
          <w:szCs w:val="30"/>
        </w:rPr>
        <w:t xml:space="preserve"> </w:t>
      </w:r>
      <w:r w:rsidR="00942545" w:rsidRPr="00126374">
        <w:rPr>
          <w:rFonts w:cstheme="minorHAnsi"/>
          <w:sz w:val="30"/>
          <w:szCs w:val="30"/>
        </w:rPr>
        <w:t>7 recursos de revisión</w:t>
      </w:r>
      <w:r w:rsidR="00604839">
        <w:rPr>
          <w:rFonts w:cstheme="minorHAnsi"/>
          <w:sz w:val="30"/>
          <w:szCs w:val="30"/>
        </w:rPr>
        <w:t xml:space="preserve">   </w:t>
      </w:r>
      <w:r w:rsidR="00942545" w:rsidRPr="00126374">
        <w:rPr>
          <w:rFonts w:cstheme="minorHAnsi"/>
          <w:sz w:val="30"/>
          <w:szCs w:val="30"/>
        </w:rPr>
        <w:t>que se derivaron de 673 solicitudes de información</w:t>
      </w:r>
      <w:r w:rsidR="00942545" w:rsidRPr="00126374">
        <w:rPr>
          <w:rStyle w:val="Refdenotaalpie"/>
          <w:rFonts w:cstheme="minorHAnsi"/>
          <w:sz w:val="30"/>
          <w:szCs w:val="30"/>
        </w:rPr>
        <w:footnoteReference w:id="2"/>
      </w:r>
      <w:r w:rsidR="00942545" w:rsidRPr="00126374">
        <w:rPr>
          <w:rFonts w:cstheme="minorHAnsi"/>
          <w:sz w:val="30"/>
          <w:szCs w:val="30"/>
        </w:rPr>
        <w:t>.</w:t>
      </w:r>
    </w:p>
    <w:p w:rsidR="003A3271" w:rsidRPr="00126374" w:rsidRDefault="003A3271" w:rsidP="003A3271">
      <w:pPr>
        <w:jc w:val="center"/>
        <w:rPr>
          <w:rFonts w:cstheme="minorHAnsi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4263241" cy="2802577"/>
            <wp:effectExtent l="0" t="0" r="23495" b="1714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A3271" w:rsidRPr="00126374" w:rsidRDefault="003A3271">
      <w:pPr>
        <w:rPr>
          <w:rFonts w:cstheme="minorHAnsi"/>
        </w:rPr>
      </w:pPr>
    </w:p>
    <w:p w:rsidR="003A3271" w:rsidRPr="00126374" w:rsidRDefault="003A3271">
      <w:pPr>
        <w:rPr>
          <w:rFonts w:cstheme="minorHAnsi"/>
        </w:rPr>
      </w:pPr>
    </w:p>
    <w:p w:rsidR="003A3271" w:rsidRPr="00126374" w:rsidRDefault="003A3271">
      <w:pPr>
        <w:rPr>
          <w:rFonts w:cstheme="minorHAnsi"/>
        </w:rPr>
      </w:pPr>
    </w:p>
    <w:p w:rsidR="003A3271" w:rsidRPr="00126374" w:rsidRDefault="003A3271">
      <w:pPr>
        <w:rPr>
          <w:rFonts w:cstheme="minorHAnsi"/>
        </w:rPr>
      </w:pPr>
    </w:p>
    <w:p w:rsidR="001B11E7" w:rsidRPr="00126374" w:rsidRDefault="001B11E7">
      <w:pPr>
        <w:rPr>
          <w:rFonts w:cstheme="minorHAnsi"/>
        </w:rPr>
      </w:pPr>
    </w:p>
    <w:p w:rsidR="003A3271" w:rsidRPr="00604839" w:rsidRDefault="00604839" w:rsidP="00604839">
      <w:pPr>
        <w:jc w:val="center"/>
        <w:rPr>
          <w:rFonts w:cstheme="minorHAnsi"/>
          <w:b/>
          <w:sz w:val="60"/>
          <w:szCs w:val="60"/>
        </w:rPr>
      </w:pPr>
      <w:r>
        <w:rPr>
          <w:rFonts w:cstheme="minorHAnsi"/>
          <w:b/>
          <w:sz w:val="60"/>
          <w:szCs w:val="60"/>
        </w:rPr>
        <w:t>Programa:</w:t>
      </w:r>
    </w:p>
    <w:p w:rsidR="00E518E6" w:rsidRPr="00604839" w:rsidRDefault="00E518E6" w:rsidP="00E518E6">
      <w:pPr>
        <w:jc w:val="center"/>
        <w:rPr>
          <w:rFonts w:cstheme="minorHAnsi"/>
          <w:b/>
          <w:sz w:val="44"/>
          <w:szCs w:val="44"/>
        </w:rPr>
      </w:pPr>
      <w:r w:rsidRPr="00604839">
        <w:rPr>
          <w:rFonts w:cstheme="minorHAnsi"/>
          <w:b/>
          <w:sz w:val="44"/>
          <w:szCs w:val="44"/>
        </w:rPr>
        <w:t xml:space="preserve">COMITÉ DE CLASIFICACIÓN </w:t>
      </w:r>
    </w:p>
    <w:p w:rsidR="00AE36A7" w:rsidRPr="00126374" w:rsidRDefault="00AE36A7">
      <w:pPr>
        <w:rPr>
          <w:rFonts w:cstheme="minorHAnsi"/>
        </w:rPr>
      </w:pPr>
    </w:p>
    <w:p w:rsidR="00AE36A7" w:rsidRPr="00604839" w:rsidRDefault="00D8742E" w:rsidP="00D8742E">
      <w:pPr>
        <w:jc w:val="both"/>
        <w:rPr>
          <w:rFonts w:cstheme="minorHAnsi"/>
          <w:sz w:val="30"/>
          <w:szCs w:val="30"/>
        </w:rPr>
      </w:pPr>
      <w:r w:rsidRPr="00D8742E">
        <w:rPr>
          <w:rFonts w:cstheme="minorHAnsi"/>
          <w:b/>
          <w:sz w:val="30"/>
          <w:szCs w:val="30"/>
        </w:rPr>
        <w:t xml:space="preserve">Objetivo: </w:t>
      </w:r>
      <w:r w:rsidRPr="00604839">
        <w:rPr>
          <w:rFonts w:cstheme="minorHAnsi"/>
          <w:sz w:val="30"/>
          <w:szCs w:val="30"/>
        </w:rPr>
        <w:t>Cumplir con lo dispuesto en la Ley de Transparencia y Acceso a la Información Pública del Estado de Jalisco y sus Municipios, los Lineamientos que expida el Instituto de Transparencia, Información Pública y Protección de Datos  y demás disposiciones legales o reglamentarias aplicables.</w:t>
      </w:r>
    </w:p>
    <w:p w:rsidR="00604839" w:rsidRPr="00D8742E" w:rsidRDefault="00604839" w:rsidP="00D8742E">
      <w:pPr>
        <w:jc w:val="both"/>
        <w:rPr>
          <w:rFonts w:cstheme="minorHAnsi"/>
          <w:b/>
          <w:sz w:val="30"/>
          <w:szCs w:val="30"/>
        </w:rPr>
      </w:pPr>
    </w:p>
    <w:p w:rsidR="00D8742E" w:rsidRPr="00604839" w:rsidRDefault="00D8742E" w:rsidP="00D8742E">
      <w:pPr>
        <w:jc w:val="both"/>
        <w:rPr>
          <w:rFonts w:cstheme="minorHAnsi"/>
          <w:sz w:val="30"/>
          <w:szCs w:val="30"/>
        </w:rPr>
      </w:pPr>
      <w:r w:rsidRPr="00D8742E">
        <w:rPr>
          <w:rFonts w:cstheme="minorHAnsi"/>
          <w:b/>
          <w:sz w:val="30"/>
          <w:szCs w:val="30"/>
        </w:rPr>
        <w:t xml:space="preserve">Objetivo específico: </w:t>
      </w:r>
      <w:r w:rsidRPr="00604839">
        <w:rPr>
          <w:rFonts w:cstheme="minorHAnsi"/>
          <w:sz w:val="30"/>
          <w:szCs w:val="30"/>
        </w:rPr>
        <w:t>Clasificación de la información confidencial y reservada en forma apegada a derecho.</w:t>
      </w:r>
    </w:p>
    <w:p w:rsidR="004239DD" w:rsidRPr="00D8742E" w:rsidRDefault="004239DD" w:rsidP="00D8742E">
      <w:pPr>
        <w:jc w:val="both"/>
        <w:rPr>
          <w:rFonts w:cstheme="minorHAnsi"/>
          <w:b/>
          <w:sz w:val="30"/>
          <w:szCs w:val="30"/>
        </w:rPr>
      </w:pPr>
    </w:p>
    <w:p w:rsidR="004239DD" w:rsidRPr="00126374" w:rsidRDefault="004239DD">
      <w:pPr>
        <w:rPr>
          <w:rFonts w:cstheme="minorHAnsi"/>
        </w:rPr>
      </w:pPr>
    </w:p>
    <w:p w:rsidR="004239DD" w:rsidRPr="00126374" w:rsidRDefault="004239DD">
      <w:pPr>
        <w:rPr>
          <w:rFonts w:cstheme="minorHAnsi"/>
        </w:rPr>
      </w:pPr>
    </w:p>
    <w:p w:rsidR="004239DD" w:rsidRPr="00126374" w:rsidRDefault="004239DD">
      <w:pPr>
        <w:rPr>
          <w:rFonts w:cstheme="minorHAnsi"/>
        </w:rPr>
      </w:pPr>
    </w:p>
    <w:p w:rsidR="00604839" w:rsidRDefault="00604839">
      <w:pPr>
        <w:rPr>
          <w:rFonts w:cstheme="minorHAnsi"/>
          <w:b/>
          <w:sz w:val="40"/>
          <w:szCs w:val="40"/>
        </w:rPr>
      </w:pPr>
    </w:p>
    <w:p w:rsidR="004239DD" w:rsidRPr="00126374" w:rsidRDefault="00412FE7">
      <w:pPr>
        <w:rPr>
          <w:rFonts w:cstheme="minorHAnsi"/>
          <w:b/>
          <w:sz w:val="40"/>
          <w:szCs w:val="40"/>
        </w:rPr>
      </w:pPr>
      <w:r w:rsidRPr="00126374">
        <w:rPr>
          <w:rFonts w:cstheme="minorHAnsi"/>
          <w:b/>
          <w:sz w:val="40"/>
          <w:szCs w:val="40"/>
        </w:rPr>
        <w:lastRenderedPageBreak/>
        <w:t xml:space="preserve">Sesiones </w:t>
      </w:r>
      <w:proofErr w:type="gramStart"/>
      <w:r w:rsidRPr="00126374">
        <w:rPr>
          <w:rFonts w:cstheme="minorHAnsi"/>
          <w:b/>
          <w:sz w:val="40"/>
          <w:szCs w:val="40"/>
        </w:rPr>
        <w:t>llevadas</w:t>
      </w:r>
      <w:proofErr w:type="gramEnd"/>
      <w:r w:rsidRPr="00126374">
        <w:rPr>
          <w:rFonts w:cstheme="minorHAnsi"/>
          <w:b/>
          <w:sz w:val="40"/>
          <w:szCs w:val="40"/>
        </w:rPr>
        <w:t xml:space="preserve"> a cabo por el Comité de Clasificación en el año 2015:</w:t>
      </w:r>
    </w:p>
    <w:p w:rsidR="004239DD" w:rsidRPr="00126374" w:rsidRDefault="00412FE7" w:rsidP="00B64FD4">
      <w:pPr>
        <w:pStyle w:val="Prrafodelista"/>
        <w:numPr>
          <w:ilvl w:val="0"/>
          <w:numId w:val="2"/>
        </w:numPr>
        <w:jc w:val="both"/>
        <w:rPr>
          <w:rFonts w:cstheme="minorHAnsi"/>
          <w:sz w:val="30"/>
          <w:szCs w:val="30"/>
        </w:rPr>
      </w:pPr>
      <w:r w:rsidRPr="00126374">
        <w:rPr>
          <w:rFonts w:cstheme="minorHAnsi"/>
          <w:sz w:val="30"/>
          <w:szCs w:val="30"/>
        </w:rPr>
        <w:t xml:space="preserve">El 25 de febrero del año 2015 se </w:t>
      </w:r>
      <w:r w:rsidR="00382EF5" w:rsidRPr="00126374">
        <w:rPr>
          <w:rFonts w:cstheme="minorHAnsi"/>
          <w:sz w:val="30"/>
          <w:szCs w:val="30"/>
        </w:rPr>
        <w:t>llevó</w:t>
      </w:r>
      <w:r w:rsidRPr="00126374">
        <w:rPr>
          <w:rFonts w:cstheme="minorHAnsi"/>
          <w:sz w:val="30"/>
          <w:szCs w:val="30"/>
        </w:rPr>
        <w:t xml:space="preserve"> a cabo la primera Sesión </w:t>
      </w:r>
      <w:r w:rsidR="00382EF5" w:rsidRPr="00126374">
        <w:rPr>
          <w:rFonts w:cstheme="minorHAnsi"/>
          <w:sz w:val="30"/>
          <w:szCs w:val="30"/>
        </w:rPr>
        <w:t>Ordinaria del Comité de Clasificación</w:t>
      </w:r>
      <w:r w:rsidR="00B64FD4" w:rsidRPr="00126374">
        <w:rPr>
          <w:rFonts w:cstheme="minorHAnsi"/>
          <w:sz w:val="30"/>
          <w:szCs w:val="30"/>
        </w:rPr>
        <w:t>,</w:t>
      </w:r>
      <w:r w:rsidR="00382EF5" w:rsidRPr="00126374">
        <w:rPr>
          <w:rFonts w:cstheme="minorHAnsi"/>
          <w:sz w:val="30"/>
          <w:szCs w:val="30"/>
        </w:rPr>
        <w:t xml:space="preserve"> mediante la cual se realizó la nueva designaci</w:t>
      </w:r>
      <w:r w:rsidR="00B64FD4" w:rsidRPr="00126374">
        <w:rPr>
          <w:rFonts w:cstheme="minorHAnsi"/>
          <w:sz w:val="30"/>
          <w:szCs w:val="30"/>
        </w:rPr>
        <w:t>ón e</w:t>
      </w:r>
      <w:r w:rsidR="00382EF5" w:rsidRPr="00126374">
        <w:rPr>
          <w:rFonts w:cstheme="minorHAnsi"/>
          <w:sz w:val="30"/>
          <w:szCs w:val="30"/>
        </w:rPr>
        <w:t xml:space="preserve"> integración</w:t>
      </w:r>
      <w:r w:rsidR="00B64FD4" w:rsidRPr="00126374">
        <w:rPr>
          <w:rFonts w:cstheme="minorHAnsi"/>
          <w:sz w:val="30"/>
          <w:szCs w:val="30"/>
        </w:rPr>
        <w:t xml:space="preserve"> del comité</w:t>
      </w:r>
      <w:r w:rsidR="00604839">
        <w:rPr>
          <w:rFonts w:cstheme="minorHAnsi"/>
          <w:sz w:val="30"/>
          <w:szCs w:val="30"/>
        </w:rPr>
        <w:t>,</w:t>
      </w:r>
      <w:r w:rsidR="001B11E7" w:rsidRPr="00126374">
        <w:rPr>
          <w:rFonts w:cstheme="minorHAnsi"/>
          <w:sz w:val="30"/>
          <w:szCs w:val="30"/>
        </w:rPr>
        <w:t xml:space="preserve"> quedando como sigue:</w:t>
      </w:r>
      <w:r w:rsidR="00604839">
        <w:rPr>
          <w:rFonts w:cstheme="minorHAnsi"/>
          <w:sz w:val="30"/>
          <w:szCs w:val="30"/>
        </w:rPr>
        <w:t xml:space="preserve"> </w:t>
      </w:r>
      <w:r w:rsidR="00B64FD4" w:rsidRPr="00126374">
        <w:rPr>
          <w:rFonts w:cstheme="minorHAnsi"/>
          <w:sz w:val="30"/>
          <w:szCs w:val="30"/>
        </w:rPr>
        <w:t xml:space="preserve">Consejero Presidente IEPC Jalisco, Guillermo Amado </w:t>
      </w:r>
      <w:proofErr w:type="spellStart"/>
      <w:r w:rsidR="00B64FD4" w:rsidRPr="00126374">
        <w:rPr>
          <w:rFonts w:cstheme="minorHAnsi"/>
          <w:sz w:val="30"/>
          <w:szCs w:val="30"/>
        </w:rPr>
        <w:t>Alcaraz</w:t>
      </w:r>
      <w:proofErr w:type="spellEnd"/>
      <w:r w:rsidR="00B64FD4" w:rsidRPr="00126374">
        <w:rPr>
          <w:rFonts w:cstheme="minorHAnsi"/>
          <w:sz w:val="30"/>
          <w:szCs w:val="30"/>
        </w:rPr>
        <w:t xml:space="preserve"> Cross; Contralor General</w:t>
      </w:r>
      <w:r w:rsidR="001B11E7" w:rsidRPr="00126374">
        <w:rPr>
          <w:rFonts w:cstheme="minorHAnsi"/>
          <w:sz w:val="30"/>
          <w:szCs w:val="30"/>
        </w:rPr>
        <w:t xml:space="preserve"> IEPC Jalisco</w:t>
      </w:r>
      <w:r w:rsidR="00B64FD4" w:rsidRPr="00126374">
        <w:rPr>
          <w:rFonts w:cstheme="minorHAnsi"/>
          <w:sz w:val="30"/>
          <w:szCs w:val="30"/>
        </w:rPr>
        <w:t>, Hugo Rodríguez Heredia y la Secretaría Técnica del Comité</w:t>
      </w:r>
      <w:r w:rsidR="001B11E7" w:rsidRPr="00126374">
        <w:rPr>
          <w:rFonts w:cstheme="minorHAnsi"/>
          <w:sz w:val="30"/>
          <w:szCs w:val="30"/>
        </w:rPr>
        <w:t xml:space="preserve"> IEPC Jalisco</w:t>
      </w:r>
      <w:r w:rsidR="00604839">
        <w:rPr>
          <w:rFonts w:cstheme="minorHAnsi"/>
          <w:sz w:val="30"/>
          <w:szCs w:val="30"/>
        </w:rPr>
        <w:t>, Olga Patricia Vergara Guzmán.</w:t>
      </w:r>
    </w:p>
    <w:p w:rsidR="001B11E7" w:rsidRPr="00126374" w:rsidRDefault="001B11E7" w:rsidP="001B11E7">
      <w:pPr>
        <w:pStyle w:val="Prrafodelista"/>
        <w:jc w:val="both"/>
        <w:rPr>
          <w:rFonts w:cstheme="minorHAnsi"/>
          <w:sz w:val="30"/>
          <w:szCs w:val="30"/>
        </w:rPr>
      </w:pPr>
    </w:p>
    <w:p w:rsidR="00B64FD4" w:rsidRPr="00126374" w:rsidRDefault="00B64FD4" w:rsidP="00B64FD4">
      <w:pPr>
        <w:pStyle w:val="Prrafodelista"/>
        <w:numPr>
          <w:ilvl w:val="0"/>
          <w:numId w:val="2"/>
        </w:numPr>
        <w:jc w:val="both"/>
        <w:rPr>
          <w:rFonts w:cstheme="minorHAnsi"/>
          <w:sz w:val="30"/>
          <w:szCs w:val="30"/>
        </w:rPr>
      </w:pPr>
      <w:r w:rsidRPr="00126374">
        <w:rPr>
          <w:rFonts w:cstheme="minorHAnsi"/>
          <w:sz w:val="30"/>
          <w:szCs w:val="30"/>
        </w:rPr>
        <w:t>06 de abril de 2015; Sesión Ordinaria del Comité de Clasificación</w:t>
      </w:r>
      <w:r w:rsidR="00604839">
        <w:rPr>
          <w:rFonts w:cstheme="minorHAnsi"/>
          <w:sz w:val="30"/>
          <w:szCs w:val="30"/>
        </w:rPr>
        <w:t xml:space="preserve">, </w:t>
      </w:r>
      <w:r w:rsidRPr="00126374">
        <w:rPr>
          <w:rFonts w:cstheme="minorHAnsi"/>
          <w:sz w:val="30"/>
          <w:szCs w:val="30"/>
        </w:rPr>
        <w:t xml:space="preserve"> mediante la cual se realizó la modificación y aprobación del aviso de confidencialidad publicado en el portal de internet de este instituto </w:t>
      </w:r>
      <w:hyperlink r:id="rId15" w:history="1">
        <w:r w:rsidRPr="00126374">
          <w:rPr>
            <w:rStyle w:val="Hipervnculo"/>
            <w:rFonts w:cstheme="minorHAnsi"/>
            <w:sz w:val="30"/>
            <w:szCs w:val="30"/>
          </w:rPr>
          <w:t>www.iepcjalisco.org.mx</w:t>
        </w:r>
      </w:hyperlink>
      <w:r w:rsidRPr="00126374">
        <w:rPr>
          <w:rFonts w:cstheme="minorHAnsi"/>
          <w:sz w:val="30"/>
          <w:szCs w:val="30"/>
        </w:rPr>
        <w:t xml:space="preserve">. </w:t>
      </w:r>
    </w:p>
    <w:p w:rsidR="001B11E7" w:rsidRPr="00126374" w:rsidRDefault="001B11E7" w:rsidP="001B11E7">
      <w:pPr>
        <w:pStyle w:val="Prrafodelista"/>
        <w:rPr>
          <w:rFonts w:cstheme="minorHAnsi"/>
          <w:sz w:val="30"/>
          <w:szCs w:val="30"/>
        </w:rPr>
      </w:pPr>
    </w:p>
    <w:p w:rsidR="00604839" w:rsidRPr="00604839" w:rsidRDefault="00B64FD4" w:rsidP="00604839">
      <w:pPr>
        <w:pStyle w:val="Prrafodelista"/>
        <w:numPr>
          <w:ilvl w:val="0"/>
          <w:numId w:val="2"/>
        </w:numPr>
        <w:jc w:val="both"/>
        <w:rPr>
          <w:rFonts w:cstheme="minorHAnsi"/>
          <w:sz w:val="40"/>
          <w:szCs w:val="40"/>
        </w:rPr>
      </w:pPr>
      <w:r w:rsidRPr="00604839">
        <w:rPr>
          <w:rFonts w:cstheme="minorHAnsi"/>
          <w:sz w:val="30"/>
          <w:szCs w:val="30"/>
        </w:rPr>
        <w:t xml:space="preserve">14 diciembre 2015; Sesión Extraordinaria del Comité de Clasificación mediante la cual se resuelven </w:t>
      </w:r>
      <w:r w:rsidR="00604839" w:rsidRPr="00604839">
        <w:rPr>
          <w:rFonts w:cstheme="minorHAnsi"/>
          <w:sz w:val="30"/>
          <w:szCs w:val="30"/>
        </w:rPr>
        <w:t xml:space="preserve">2 </w:t>
      </w:r>
      <w:r w:rsidRPr="00604839">
        <w:rPr>
          <w:rFonts w:cstheme="minorHAnsi"/>
          <w:sz w:val="30"/>
          <w:szCs w:val="30"/>
        </w:rPr>
        <w:t xml:space="preserve"> solicitudes de protección de datos personales</w:t>
      </w:r>
      <w:r w:rsidR="00604839">
        <w:rPr>
          <w:rFonts w:cstheme="minorHAnsi"/>
          <w:sz w:val="30"/>
          <w:szCs w:val="30"/>
        </w:rPr>
        <w:t>.</w:t>
      </w:r>
    </w:p>
    <w:p w:rsidR="00604839" w:rsidRPr="00604839" w:rsidRDefault="00604839" w:rsidP="00604839">
      <w:pPr>
        <w:pStyle w:val="Prrafodelista"/>
        <w:rPr>
          <w:rFonts w:cstheme="minorHAnsi"/>
          <w:sz w:val="30"/>
          <w:szCs w:val="30"/>
        </w:rPr>
      </w:pPr>
    </w:p>
    <w:p w:rsidR="004239DD" w:rsidRPr="00604839" w:rsidRDefault="00B64FD4" w:rsidP="00604839">
      <w:pPr>
        <w:pStyle w:val="Prrafodelista"/>
        <w:jc w:val="both"/>
        <w:rPr>
          <w:rFonts w:cstheme="minorHAnsi"/>
          <w:sz w:val="40"/>
          <w:szCs w:val="40"/>
        </w:rPr>
      </w:pPr>
      <w:r w:rsidRPr="00604839">
        <w:rPr>
          <w:rFonts w:cstheme="minorHAnsi"/>
          <w:sz w:val="30"/>
          <w:szCs w:val="30"/>
        </w:rPr>
        <w:t xml:space="preserve"> </w:t>
      </w:r>
    </w:p>
    <w:p w:rsidR="004239DD" w:rsidRPr="00126374" w:rsidRDefault="004239DD">
      <w:pPr>
        <w:rPr>
          <w:rFonts w:cstheme="minorHAnsi"/>
        </w:rPr>
      </w:pPr>
    </w:p>
    <w:p w:rsidR="00604839" w:rsidRDefault="00604839" w:rsidP="00604839">
      <w:pPr>
        <w:rPr>
          <w:rFonts w:cstheme="minorHAnsi"/>
          <w:b/>
          <w:sz w:val="60"/>
          <w:szCs w:val="60"/>
        </w:rPr>
      </w:pPr>
    </w:p>
    <w:p w:rsidR="004239DD" w:rsidRPr="00126374" w:rsidRDefault="004239DD" w:rsidP="00604839">
      <w:pPr>
        <w:jc w:val="center"/>
        <w:rPr>
          <w:rFonts w:cstheme="minorHAnsi"/>
          <w:b/>
          <w:sz w:val="60"/>
          <w:szCs w:val="60"/>
        </w:rPr>
      </w:pPr>
      <w:r w:rsidRPr="00126374">
        <w:rPr>
          <w:rFonts w:cstheme="minorHAnsi"/>
          <w:b/>
          <w:sz w:val="60"/>
          <w:szCs w:val="60"/>
        </w:rPr>
        <w:lastRenderedPageBreak/>
        <w:t>Programa:</w:t>
      </w:r>
    </w:p>
    <w:p w:rsidR="00C87883" w:rsidRPr="00126374" w:rsidRDefault="00C87883">
      <w:pPr>
        <w:rPr>
          <w:rFonts w:cstheme="minorHAnsi"/>
        </w:rPr>
      </w:pPr>
    </w:p>
    <w:p w:rsidR="00E518E6" w:rsidRPr="00604839" w:rsidRDefault="00E518E6" w:rsidP="00E518E6">
      <w:pPr>
        <w:jc w:val="center"/>
        <w:rPr>
          <w:rFonts w:cstheme="minorHAnsi"/>
          <w:b/>
          <w:sz w:val="44"/>
          <w:szCs w:val="44"/>
        </w:rPr>
      </w:pPr>
      <w:r w:rsidRPr="00604839">
        <w:rPr>
          <w:rFonts w:cstheme="minorHAnsi"/>
          <w:b/>
          <w:sz w:val="44"/>
          <w:szCs w:val="44"/>
        </w:rPr>
        <w:t>ACTUALIZACIÓN Y GESTIÓN DE LA INFORMACIÓN PARA PORTAL DE INTERNET</w:t>
      </w:r>
    </w:p>
    <w:p w:rsidR="00E518E6" w:rsidRDefault="00E733A4" w:rsidP="00E733A4">
      <w:pPr>
        <w:jc w:val="both"/>
        <w:rPr>
          <w:rFonts w:cstheme="minorHAnsi"/>
          <w:b/>
          <w:sz w:val="30"/>
          <w:szCs w:val="30"/>
        </w:rPr>
      </w:pPr>
      <w:r w:rsidRPr="00E733A4">
        <w:rPr>
          <w:rFonts w:cstheme="minorHAnsi"/>
          <w:b/>
          <w:sz w:val="30"/>
          <w:szCs w:val="30"/>
        </w:rPr>
        <w:t>Objetivo:</w:t>
      </w:r>
      <w:r>
        <w:rPr>
          <w:rFonts w:cstheme="minorHAnsi"/>
          <w:b/>
          <w:sz w:val="30"/>
          <w:szCs w:val="30"/>
        </w:rPr>
        <w:t xml:space="preserve"> </w:t>
      </w:r>
      <w:r w:rsidRPr="00604839">
        <w:rPr>
          <w:rFonts w:cstheme="minorHAnsi"/>
          <w:sz w:val="30"/>
          <w:szCs w:val="30"/>
        </w:rPr>
        <w:t>Cumplir con lo dispuesto en la Ley de Transparencia y Acceso a la Información Pública del Estado de Jalisco y sus Municipios, así como con los lineamientos y disposiciones que al efecto emitan el ITEI y el Consejo General del IEPC, referente a la publicación de información de los artículos 8° y 14°.</w:t>
      </w:r>
    </w:p>
    <w:p w:rsidR="00E733A4" w:rsidRDefault="00E733A4" w:rsidP="00E733A4">
      <w:pPr>
        <w:jc w:val="both"/>
        <w:rPr>
          <w:rFonts w:cstheme="minorHAnsi"/>
          <w:b/>
          <w:sz w:val="30"/>
          <w:szCs w:val="30"/>
        </w:rPr>
      </w:pPr>
    </w:p>
    <w:p w:rsidR="00E733A4" w:rsidRPr="00604839" w:rsidRDefault="00E733A4" w:rsidP="00E733A4">
      <w:pPr>
        <w:jc w:val="both"/>
        <w:rPr>
          <w:rFonts w:cstheme="minorHAnsi"/>
          <w:sz w:val="30"/>
          <w:szCs w:val="30"/>
        </w:rPr>
      </w:pPr>
      <w:r>
        <w:rPr>
          <w:rFonts w:cstheme="minorHAnsi"/>
          <w:b/>
          <w:sz w:val="30"/>
          <w:szCs w:val="30"/>
        </w:rPr>
        <w:t xml:space="preserve"> Objetivo específico: </w:t>
      </w:r>
      <w:r w:rsidRPr="00604839">
        <w:rPr>
          <w:rFonts w:cstheme="minorHAnsi"/>
          <w:sz w:val="30"/>
          <w:szCs w:val="30"/>
        </w:rPr>
        <w:t>Cumplir con los principios de máxima revelación, publicidad, divulgación oportuna y veraz, sencillez y facilidad para acceder, gratuidad, ámbito limitado de excepciones, apertura del órgano público, celeridad y seguridad jurídica del procedimiento, en la publicación de la información fundamental.</w:t>
      </w:r>
    </w:p>
    <w:p w:rsidR="00E518E6" w:rsidRPr="00126374" w:rsidRDefault="00E518E6" w:rsidP="00E518E6">
      <w:pPr>
        <w:jc w:val="center"/>
        <w:rPr>
          <w:rFonts w:cstheme="minorHAnsi"/>
          <w:b/>
          <w:sz w:val="60"/>
          <w:szCs w:val="60"/>
        </w:rPr>
      </w:pPr>
    </w:p>
    <w:p w:rsidR="00E518E6" w:rsidRPr="00126374" w:rsidRDefault="00E518E6" w:rsidP="00E518E6">
      <w:pPr>
        <w:jc w:val="center"/>
        <w:rPr>
          <w:rFonts w:cstheme="minorHAnsi"/>
          <w:b/>
          <w:sz w:val="60"/>
          <w:szCs w:val="60"/>
        </w:rPr>
      </w:pPr>
    </w:p>
    <w:p w:rsidR="0098534D" w:rsidRPr="00126374" w:rsidRDefault="0098534D" w:rsidP="00E518E6">
      <w:pPr>
        <w:jc w:val="center"/>
        <w:rPr>
          <w:rFonts w:cstheme="minorHAnsi"/>
          <w:b/>
          <w:sz w:val="40"/>
          <w:szCs w:val="40"/>
        </w:rPr>
      </w:pPr>
    </w:p>
    <w:p w:rsidR="001B43A3" w:rsidRPr="00126374" w:rsidRDefault="001B43A3" w:rsidP="0098534D">
      <w:pPr>
        <w:pStyle w:val="Ttulo"/>
        <w:jc w:val="center"/>
        <w:rPr>
          <w:rFonts w:asciiTheme="minorHAnsi" w:hAnsiTheme="minorHAnsi" w:cstheme="minorHAnsi"/>
          <w:b/>
          <w:color w:val="7030A0"/>
          <w:sz w:val="60"/>
          <w:szCs w:val="60"/>
          <w:lang w:val="es-MX"/>
        </w:rPr>
      </w:pPr>
      <w:r w:rsidRPr="00126374">
        <w:rPr>
          <w:rFonts w:asciiTheme="minorHAnsi" w:hAnsiTheme="minorHAnsi" w:cstheme="minorHAnsi"/>
          <w:b/>
          <w:color w:val="7030A0"/>
          <w:sz w:val="60"/>
          <w:szCs w:val="60"/>
          <w:lang w:val="es-MX"/>
        </w:rPr>
        <w:t>máxima publicidad:</w:t>
      </w:r>
    </w:p>
    <w:p w:rsidR="00E518E6" w:rsidRPr="00126374" w:rsidRDefault="00E518E6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518E6" w:rsidRPr="00604839" w:rsidRDefault="0098534D" w:rsidP="0098534D">
      <w:pPr>
        <w:jc w:val="both"/>
        <w:rPr>
          <w:rFonts w:cstheme="minorHAnsi"/>
          <w:sz w:val="40"/>
          <w:szCs w:val="40"/>
        </w:rPr>
      </w:pPr>
      <w:r w:rsidRPr="00604839">
        <w:rPr>
          <w:rFonts w:cstheme="minorHAnsi"/>
          <w:sz w:val="40"/>
          <w:szCs w:val="40"/>
        </w:rPr>
        <w:t>Durante el año 2015, el Instituto Electoral y de Participación Ciudadana del Estado de Jalisco, puso a disposición de la ciudadanía la información prevista en los artículo 8° y 14° de la Ley de Transparencia e Información Pública del Estado de Jalisco y sus Municipios, así como información focalizada y proactiva en torno al proceso electoral local 2014-2015.</w:t>
      </w:r>
    </w:p>
    <w:p w:rsidR="004239DD" w:rsidRPr="00604839" w:rsidRDefault="004239DD" w:rsidP="0098534D">
      <w:pPr>
        <w:rPr>
          <w:rFonts w:cstheme="minorHAnsi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518E6" w:rsidRPr="00604839" w:rsidRDefault="0098534D" w:rsidP="00E518E6">
      <w:pPr>
        <w:jc w:val="center"/>
        <w:rPr>
          <w:rFonts w:cstheme="minorHAnsi"/>
          <w:color w:val="262626" w:themeColor="text1" w:themeTint="D9"/>
          <w:sz w:val="60"/>
          <w:szCs w:val="60"/>
        </w:rPr>
      </w:pPr>
      <w:r w:rsidRPr="00604839">
        <w:rPr>
          <w:rFonts w:cstheme="minorHAnsi"/>
          <w:color w:val="262626" w:themeColor="text1" w:themeTint="D9"/>
          <w:sz w:val="60"/>
          <w:szCs w:val="60"/>
        </w:rPr>
        <w:t>El número total de visitas del portal de internet de este organismo electoral</w:t>
      </w:r>
      <w:r w:rsidR="001437E8" w:rsidRPr="00604839">
        <w:rPr>
          <w:rFonts w:cstheme="minorHAnsi"/>
          <w:color w:val="262626" w:themeColor="text1" w:themeTint="D9"/>
          <w:sz w:val="60"/>
          <w:szCs w:val="60"/>
        </w:rPr>
        <w:t xml:space="preserve"> </w:t>
      </w:r>
      <w:hyperlink r:id="rId16" w:history="1">
        <w:r w:rsidR="001437E8" w:rsidRPr="00604839">
          <w:rPr>
            <w:rStyle w:val="Hipervnculo"/>
            <w:rFonts w:cstheme="minorHAnsi"/>
            <w:color w:val="2626FF" w:themeColor="hyperlink" w:themeTint="D9"/>
            <w:sz w:val="60"/>
            <w:szCs w:val="60"/>
          </w:rPr>
          <w:t>www.iepcjalisco.org.mx</w:t>
        </w:r>
      </w:hyperlink>
      <w:r w:rsidR="001437E8" w:rsidRPr="00604839">
        <w:rPr>
          <w:rFonts w:cstheme="minorHAnsi"/>
          <w:color w:val="262626" w:themeColor="text1" w:themeTint="D9"/>
          <w:sz w:val="60"/>
          <w:szCs w:val="60"/>
        </w:rPr>
        <w:t xml:space="preserve"> </w:t>
      </w:r>
      <w:r w:rsidRPr="00604839">
        <w:rPr>
          <w:rFonts w:cstheme="minorHAnsi"/>
          <w:color w:val="262626" w:themeColor="text1" w:themeTint="D9"/>
          <w:sz w:val="60"/>
          <w:szCs w:val="60"/>
        </w:rPr>
        <w:t xml:space="preserve"> ascendió a </w:t>
      </w:r>
      <w:r w:rsidRPr="00604839">
        <w:rPr>
          <w:rFonts w:cstheme="minorHAnsi"/>
          <w:color w:val="7030A0"/>
          <w:sz w:val="60"/>
          <w:szCs w:val="60"/>
        </w:rPr>
        <w:t>625,384</w:t>
      </w:r>
      <w:r w:rsidR="001437E8" w:rsidRPr="00604839">
        <w:rPr>
          <w:rFonts w:cstheme="minorHAnsi"/>
          <w:color w:val="262626" w:themeColor="text1" w:themeTint="D9"/>
          <w:sz w:val="60"/>
          <w:szCs w:val="60"/>
        </w:rPr>
        <w:t>;</w:t>
      </w:r>
      <w:r w:rsidRPr="00604839">
        <w:rPr>
          <w:rFonts w:cstheme="minorHAnsi"/>
          <w:color w:val="262626" w:themeColor="text1" w:themeTint="D9"/>
          <w:sz w:val="60"/>
          <w:szCs w:val="60"/>
        </w:rPr>
        <w:t xml:space="preserve"> siendo los meses de mayo y junio los más visitados</w:t>
      </w:r>
      <w:r w:rsidR="001437E8" w:rsidRPr="00604839">
        <w:rPr>
          <w:rFonts w:cstheme="minorHAnsi"/>
          <w:color w:val="262626" w:themeColor="text1" w:themeTint="D9"/>
          <w:sz w:val="60"/>
          <w:szCs w:val="60"/>
        </w:rPr>
        <w:t xml:space="preserve"> con un total </w:t>
      </w:r>
      <w:r w:rsidR="001437E8" w:rsidRPr="00604839">
        <w:rPr>
          <w:rFonts w:cstheme="minorHAnsi"/>
          <w:color w:val="7030A0"/>
          <w:sz w:val="60"/>
          <w:szCs w:val="60"/>
        </w:rPr>
        <w:t xml:space="preserve">105,462 </w:t>
      </w:r>
      <w:r w:rsidR="001437E8" w:rsidRPr="00604839">
        <w:rPr>
          <w:rFonts w:cstheme="minorHAnsi"/>
          <w:color w:val="262626" w:themeColor="text1" w:themeTint="D9"/>
          <w:sz w:val="60"/>
          <w:szCs w:val="60"/>
        </w:rPr>
        <w:t xml:space="preserve">y </w:t>
      </w:r>
      <w:r w:rsidR="001437E8" w:rsidRPr="00604839">
        <w:rPr>
          <w:rFonts w:cstheme="minorHAnsi"/>
          <w:color w:val="7030A0"/>
          <w:sz w:val="60"/>
          <w:szCs w:val="60"/>
        </w:rPr>
        <w:t xml:space="preserve">210,337 </w:t>
      </w:r>
      <w:r w:rsidR="001437E8" w:rsidRPr="00604839">
        <w:rPr>
          <w:rFonts w:cstheme="minorHAnsi"/>
          <w:color w:val="262626" w:themeColor="text1" w:themeTint="D9"/>
          <w:sz w:val="60"/>
          <w:szCs w:val="60"/>
        </w:rPr>
        <w:t>visitas respectivamente.</w:t>
      </w: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126374" w:rsidRPr="00126374" w:rsidRDefault="00126374" w:rsidP="00126374">
      <w:pPr>
        <w:jc w:val="center"/>
        <w:rPr>
          <w:rFonts w:cstheme="minorHAnsi"/>
          <w:b/>
          <w:color w:val="000000" w:themeColor="text1"/>
          <w:sz w:val="40"/>
          <w:szCs w:val="40"/>
        </w:rPr>
      </w:pPr>
      <w:r w:rsidRPr="00126374">
        <w:rPr>
          <w:rFonts w:cstheme="minorHAnsi"/>
          <w:b/>
          <w:color w:val="000000" w:themeColor="text1"/>
          <w:sz w:val="40"/>
          <w:szCs w:val="40"/>
        </w:rPr>
        <w:lastRenderedPageBreak/>
        <w:t xml:space="preserve">Visitas </w:t>
      </w:r>
      <w:r>
        <w:rPr>
          <w:rFonts w:cstheme="minorHAnsi"/>
          <w:b/>
          <w:color w:val="000000" w:themeColor="text1"/>
          <w:sz w:val="40"/>
          <w:szCs w:val="40"/>
        </w:rPr>
        <w:t>página institucional</w:t>
      </w: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tbl>
      <w:tblPr>
        <w:tblpPr w:leftFromText="141" w:rightFromText="141" w:vertAnchor="text" w:horzAnchor="page" w:tblpX="10965" w:tblpY="552"/>
        <w:tblW w:w="2520" w:type="dxa"/>
        <w:tblCellMar>
          <w:left w:w="70" w:type="dxa"/>
          <w:right w:w="70" w:type="dxa"/>
        </w:tblCellMar>
        <w:tblLook w:val="04A0"/>
      </w:tblPr>
      <w:tblGrid>
        <w:gridCol w:w="1260"/>
        <w:gridCol w:w="1260"/>
      </w:tblGrid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 xml:space="preserve">Enero 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37,389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Febrero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35,627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 xml:space="preserve">Marzo 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52,011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Abril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82,830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 xml:space="preserve">Mayo 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105,462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Junio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210,337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Julio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25,237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Agosto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19,816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Septiembre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15,426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Octubre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15,892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Noviembre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15,430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 xml:space="preserve">Diciembre 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9,927</w:t>
            </w:r>
          </w:p>
        </w:tc>
      </w:tr>
    </w:tbl>
    <w:p w:rsidR="00FB6501" w:rsidRPr="00126374" w:rsidRDefault="001437E8" w:rsidP="001437E8">
      <w:pPr>
        <w:rPr>
          <w:rFonts w:cstheme="minorHAnsi"/>
          <w:color w:val="FF0000"/>
          <w:sz w:val="26"/>
          <w:szCs w:val="26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4943475" cy="2995613"/>
            <wp:effectExtent l="0" t="0" r="9525" b="14605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76FC6" w:rsidRPr="00126374" w:rsidRDefault="00976FC6" w:rsidP="001437E8">
      <w:pPr>
        <w:rPr>
          <w:rFonts w:cstheme="minorHAnsi"/>
          <w:color w:val="FF0000"/>
          <w:sz w:val="26"/>
          <w:szCs w:val="26"/>
        </w:rPr>
      </w:pPr>
    </w:p>
    <w:p w:rsidR="001437E8" w:rsidRPr="00126374" w:rsidRDefault="001437E8" w:rsidP="001437E8">
      <w:pPr>
        <w:rPr>
          <w:rFonts w:cstheme="minorHAnsi"/>
          <w:color w:val="FF0000"/>
          <w:sz w:val="26"/>
          <w:szCs w:val="26"/>
        </w:rPr>
      </w:pPr>
    </w:p>
    <w:p w:rsidR="001437E8" w:rsidRPr="00126374" w:rsidRDefault="001437E8" w:rsidP="00E518E6">
      <w:pPr>
        <w:jc w:val="center"/>
        <w:rPr>
          <w:rFonts w:cstheme="minorHAnsi"/>
          <w:color w:val="000000" w:themeColor="text1"/>
          <w:sz w:val="40"/>
          <w:szCs w:val="40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976FC6" w:rsidRDefault="00976FC6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733A4" w:rsidRDefault="00E733A4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733A4" w:rsidRPr="00126374" w:rsidRDefault="00E733A4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976FC6" w:rsidRPr="00604839" w:rsidRDefault="00976FC6" w:rsidP="00976FC6">
      <w:pPr>
        <w:jc w:val="center"/>
        <w:rPr>
          <w:rFonts w:cstheme="minorHAnsi"/>
          <w:color w:val="262626" w:themeColor="text1" w:themeTint="D9"/>
          <w:sz w:val="60"/>
          <w:szCs w:val="60"/>
        </w:rPr>
      </w:pPr>
      <w:r w:rsidRPr="00604839">
        <w:rPr>
          <w:rFonts w:cstheme="minorHAnsi"/>
          <w:color w:val="262626" w:themeColor="text1" w:themeTint="D9"/>
          <w:sz w:val="60"/>
          <w:szCs w:val="60"/>
        </w:rPr>
        <w:t xml:space="preserve">El número total de visitas del apartado “Transparencia” ascendió a </w:t>
      </w:r>
      <w:r w:rsidRPr="00604839">
        <w:rPr>
          <w:rFonts w:cstheme="minorHAnsi"/>
          <w:bCs/>
          <w:color w:val="7030A0"/>
          <w:sz w:val="60"/>
          <w:szCs w:val="60"/>
        </w:rPr>
        <w:t>12,733</w:t>
      </w:r>
      <w:r w:rsidRPr="00604839">
        <w:rPr>
          <w:rFonts w:cstheme="minorHAnsi"/>
          <w:color w:val="7030A0"/>
          <w:sz w:val="60"/>
          <w:szCs w:val="60"/>
        </w:rPr>
        <w:t xml:space="preserve">; </w:t>
      </w:r>
      <w:r w:rsidRPr="00604839">
        <w:rPr>
          <w:rFonts w:cstheme="minorHAnsi"/>
          <w:color w:val="262626" w:themeColor="text1" w:themeTint="D9"/>
          <w:sz w:val="60"/>
          <w:szCs w:val="60"/>
        </w:rPr>
        <w:t xml:space="preserve">siendo los meses de marzo, abril, mayo y junio los más visitados con un total  de </w:t>
      </w:r>
      <w:r w:rsidRPr="00604839">
        <w:rPr>
          <w:rFonts w:cstheme="minorHAnsi"/>
          <w:color w:val="7030A0"/>
          <w:sz w:val="60"/>
          <w:szCs w:val="60"/>
        </w:rPr>
        <w:t xml:space="preserve">5,433 </w:t>
      </w:r>
      <w:r w:rsidRPr="00604839">
        <w:rPr>
          <w:rFonts w:cstheme="minorHAnsi"/>
          <w:color w:val="262626" w:themeColor="text1" w:themeTint="D9"/>
          <w:sz w:val="60"/>
          <w:szCs w:val="60"/>
        </w:rPr>
        <w:t>visitas.</w:t>
      </w:r>
    </w:p>
    <w:p w:rsidR="001437E8" w:rsidRPr="00126374" w:rsidRDefault="001437E8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1437E8" w:rsidRPr="00126374" w:rsidRDefault="001437E8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1437E8" w:rsidRPr="00126374" w:rsidRDefault="001437E8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1437E8" w:rsidRPr="00126374" w:rsidRDefault="001437E8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1437E8" w:rsidRPr="00126374" w:rsidRDefault="001437E8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E518E6">
      <w:pPr>
        <w:jc w:val="center"/>
        <w:rPr>
          <w:rFonts w:cstheme="minorHAnsi"/>
          <w:b/>
          <w:color w:val="000000" w:themeColor="text1"/>
          <w:sz w:val="40"/>
          <w:szCs w:val="40"/>
        </w:rPr>
      </w:pPr>
    </w:p>
    <w:p w:rsidR="00004B4D" w:rsidRPr="00126374" w:rsidRDefault="00FB6501" w:rsidP="00E518E6">
      <w:pPr>
        <w:jc w:val="center"/>
        <w:rPr>
          <w:rFonts w:cstheme="minorHAnsi"/>
          <w:b/>
          <w:color w:val="000000" w:themeColor="text1"/>
          <w:sz w:val="40"/>
          <w:szCs w:val="40"/>
        </w:rPr>
      </w:pPr>
      <w:r w:rsidRPr="00126374">
        <w:rPr>
          <w:rFonts w:cstheme="minorHAnsi"/>
          <w:b/>
          <w:color w:val="000000" w:themeColor="text1"/>
          <w:sz w:val="40"/>
          <w:szCs w:val="40"/>
        </w:rPr>
        <w:t>Visitas apartado Transparencia</w:t>
      </w:r>
    </w:p>
    <w:tbl>
      <w:tblPr>
        <w:tblpPr w:leftFromText="141" w:rightFromText="141" w:vertAnchor="text" w:horzAnchor="margin" w:tblpXSpec="right" w:tblpY="282"/>
        <w:tblW w:w="2520" w:type="dxa"/>
        <w:tblCellMar>
          <w:left w:w="70" w:type="dxa"/>
          <w:right w:w="70" w:type="dxa"/>
        </w:tblCellMar>
        <w:tblLook w:val="04A0"/>
      </w:tblPr>
      <w:tblGrid>
        <w:gridCol w:w="1272"/>
        <w:gridCol w:w="1248"/>
      </w:tblGrid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Enero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1,150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Febrero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1,157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Marzo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1,417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Abril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1,357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Mayo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1,286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Junio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1,373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Julio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863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Agosto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816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Septiembre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939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Octubre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888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Noviembre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B8CCE4" w:fill="B8CCE4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833</w:t>
            </w:r>
          </w:p>
        </w:tc>
      </w:tr>
      <w:tr w:rsidR="00FB6501" w:rsidRPr="00126374" w:rsidTr="00FB6501">
        <w:trPr>
          <w:trHeight w:val="315"/>
        </w:trPr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Diciembre</w:t>
            </w:r>
          </w:p>
        </w:tc>
        <w:tc>
          <w:tcPr>
            <w:tcW w:w="12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DCE6F1" w:fill="DCE6F1"/>
            <w:vAlign w:val="center"/>
            <w:hideMark/>
          </w:tcPr>
          <w:p w:rsidR="00FB6501" w:rsidRPr="00126374" w:rsidRDefault="00FB6501" w:rsidP="00FB65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654</w:t>
            </w:r>
          </w:p>
        </w:tc>
      </w:tr>
    </w:tbl>
    <w:p w:rsidR="00FB6501" w:rsidRPr="00126374" w:rsidRDefault="00004B4D" w:rsidP="00FB6501">
      <w:pPr>
        <w:rPr>
          <w:rFonts w:cstheme="minorHAnsi"/>
          <w:color w:val="FF0000"/>
          <w:sz w:val="26"/>
          <w:szCs w:val="26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5379522" cy="2897579"/>
            <wp:effectExtent l="0" t="0" r="12065" b="17145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26427B" w:rsidRDefault="0026427B" w:rsidP="00FB6501">
      <w:pPr>
        <w:jc w:val="center"/>
        <w:rPr>
          <w:rFonts w:cstheme="minorHAnsi"/>
          <w:b/>
          <w:color w:val="262626" w:themeColor="text1" w:themeTint="D9"/>
          <w:sz w:val="60"/>
          <w:szCs w:val="60"/>
        </w:rPr>
      </w:pPr>
    </w:p>
    <w:p w:rsidR="00FB6501" w:rsidRPr="00604839" w:rsidRDefault="00FB6501" w:rsidP="00FB6501">
      <w:pPr>
        <w:jc w:val="center"/>
        <w:rPr>
          <w:rFonts w:cstheme="minorHAnsi"/>
          <w:color w:val="262626" w:themeColor="text1" w:themeTint="D9"/>
          <w:sz w:val="60"/>
          <w:szCs w:val="60"/>
        </w:rPr>
      </w:pPr>
      <w:r w:rsidRPr="00604839">
        <w:rPr>
          <w:rFonts w:cstheme="minorHAnsi"/>
          <w:color w:val="262626" w:themeColor="text1" w:themeTint="D9"/>
          <w:sz w:val="60"/>
          <w:szCs w:val="60"/>
        </w:rPr>
        <w:t xml:space="preserve">Dentro de los sitios más visitados en el apartado </w:t>
      </w:r>
      <w:r w:rsidRPr="00604839">
        <w:rPr>
          <w:rFonts w:cstheme="minorHAnsi"/>
          <w:color w:val="7030A0"/>
          <w:sz w:val="60"/>
          <w:szCs w:val="60"/>
        </w:rPr>
        <w:t xml:space="preserve">“Transparencia” </w:t>
      </w:r>
      <w:r w:rsidRPr="00604839">
        <w:rPr>
          <w:rFonts w:cstheme="minorHAnsi"/>
          <w:color w:val="262626" w:themeColor="text1" w:themeTint="D9"/>
          <w:sz w:val="60"/>
          <w:szCs w:val="60"/>
        </w:rPr>
        <w:t>se encuentran, nóminas, actas y acuerdos; comisiones y comités; padrón de proveedores, así como la información prevista en el artículo 8.</w:t>
      </w: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FB6501" w:rsidRPr="00126374" w:rsidRDefault="00FB6501" w:rsidP="00FB6501">
      <w:pPr>
        <w:rPr>
          <w:rFonts w:cstheme="minorHAnsi"/>
          <w:color w:val="FF0000"/>
          <w:sz w:val="26"/>
          <w:szCs w:val="26"/>
        </w:rPr>
      </w:pPr>
    </w:p>
    <w:p w:rsidR="00272157" w:rsidRPr="00126374" w:rsidRDefault="00272157" w:rsidP="00E518E6">
      <w:pPr>
        <w:jc w:val="center"/>
        <w:rPr>
          <w:rFonts w:cstheme="minorHAnsi"/>
          <w:b/>
          <w:color w:val="262626" w:themeColor="text1" w:themeTint="D9"/>
          <w:sz w:val="40"/>
          <w:szCs w:val="40"/>
        </w:rPr>
      </w:pPr>
    </w:p>
    <w:p w:rsidR="00272157" w:rsidRPr="00126374" w:rsidRDefault="00272157" w:rsidP="00E518E6">
      <w:pPr>
        <w:jc w:val="center"/>
        <w:rPr>
          <w:rFonts w:cstheme="minorHAnsi"/>
          <w:b/>
          <w:color w:val="000000" w:themeColor="text1"/>
          <w:sz w:val="40"/>
          <w:szCs w:val="40"/>
        </w:rPr>
      </w:pPr>
      <w:r w:rsidRPr="00126374">
        <w:rPr>
          <w:rFonts w:cstheme="minorHAnsi"/>
          <w:b/>
          <w:color w:val="000000" w:themeColor="text1"/>
          <w:sz w:val="40"/>
          <w:szCs w:val="40"/>
        </w:rPr>
        <w:lastRenderedPageBreak/>
        <w:t>Dispositivos electrónicos utilizados por la ciudadanía para el acceso al portal de internet del IEPC Jalisco.</w:t>
      </w:r>
    </w:p>
    <w:p w:rsidR="00004B4D" w:rsidRPr="00126374" w:rsidRDefault="008F65DC" w:rsidP="00E518E6">
      <w:pPr>
        <w:jc w:val="center"/>
        <w:rPr>
          <w:rFonts w:cstheme="minorHAnsi"/>
          <w:color w:val="FF0000"/>
          <w:sz w:val="26"/>
          <w:szCs w:val="26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4572000" cy="2743200"/>
            <wp:effectExtent l="0" t="0" r="19050" b="19050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04B4D" w:rsidRPr="00126374" w:rsidRDefault="00004B4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004B4D" w:rsidRPr="00126374" w:rsidRDefault="00004B4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004B4D" w:rsidRPr="00126374" w:rsidRDefault="00004B4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004B4D" w:rsidRPr="00126374" w:rsidRDefault="00004B4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004B4D" w:rsidRPr="00126374" w:rsidRDefault="00004B4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733A4" w:rsidRDefault="00E733A4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733A4" w:rsidRPr="00126374" w:rsidRDefault="00E733A4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4239DD">
      <w:pPr>
        <w:jc w:val="center"/>
        <w:rPr>
          <w:rFonts w:cstheme="minorHAnsi"/>
          <w:b/>
          <w:sz w:val="60"/>
          <w:szCs w:val="60"/>
        </w:rPr>
      </w:pPr>
      <w:r w:rsidRPr="00126374">
        <w:rPr>
          <w:rFonts w:cstheme="minorHAnsi"/>
          <w:b/>
          <w:sz w:val="60"/>
          <w:szCs w:val="60"/>
        </w:rPr>
        <w:t>Programa:</w:t>
      </w:r>
    </w:p>
    <w:p w:rsidR="004239DD" w:rsidRPr="00126374" w:rsidRDefault="004239DD" w:rsidP="004239DD">
      <w:pPr>
        <w:rPr>
          <w:rFonts w:cstheme="minorHAnsi"/>
        </w:rPr>
      </w:pPr>
    </w:p>
    <w:p w:rsidR="004239DD" w:rsidRPr="00604839" w:rsidRDefault="004239DD" w:rsidP="004239DD">
      <w:pPr>
        <w:jc w:val="center"/>
        <w:rPr>
          <w:rFonts w:cstheme="minorHAnsi"/>
          <w:b/>
          <w:sz w:val="44"/>
          <w:szCs w:val="44"/>
        </w:rPr>
      </w:pPr>
      <w:r w:rsidRPr="00604839">
        <w:rPr>
          <w:rFonts w:cstheme="minorHAnsi"/>
          <w:b/>
          <w:sz w:val="44"/>
          <w:szCs w:val="44"/>
        </w:rPr>
        <w:t>PROMOCIÓN CAPACITACIÓN Y VINCULACIÓN</w:t>
      </w: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5720E3" w:rsidRDefault="00E733A4" w:rsidP="005720E3">
      <w:pPr>
        <w:jc w:val="both"/>
        <w:rPr>
          <w:rFonts w:cstheme="minorHAnsi"/>
          <w:b/>
          <w:color w:val="000000" w:themeColor="text1"/>
          <w:sz w:val="26"/>
          <w:szCs w:val="26"/>
        </w:rPr>
      </w:pPr>
      <w:r w:rsidRPr="005720E3">
        <w:rPr>
          <w:rFonts w:cstheme="minorHAnsi"/>
          <w:b/>
          <w:color w:val="000000" w:themeColor="text1"/>
          <w:sz w:val="26"/>
          <w:szCs w:val="26"/>
        </w:rPr>
        <w:t xml:space="preserve">Objetivo: </w:t>
      </w:r>
      <w:r w:rsidRPr="00604839">
        <w:rPr>
          <w:rFonts w:cstheme="minorHAnsi"/>
          <w:color w:val="000000" w:themeColor="text1"/>
          <w:sz w:val="26"/>
          <w:szCs w:val="26"/>
        </w:rPr>
        <w:t>Que a través del ejercicio del derecho constitucional a la Información Pública se consolide el Estado Democrático y de Derecho y se promueva la participación ciudadana y la cultura de la transparencia</w:t>
      </w:r>
      <w:r w:rsidRPr="005720E3">
        <w:rPr>
          <w:rFonts w:cstheme="minorHAnsi"/>
          <w:b/>
          <w:color w:val="000000" w:themeColor="text1"/>
          <w:sz w:val="26"/>
          <w:szCs w:val="26"/>
        </w:rPr>
        <w:t>.</w:t>
      </w:r>
    </w:p>
    <w:p w:rsidR="00E733A4" w:rsidRPr="00604839" w:rsidRDefault="00E733A4" w:rsidP="005720E3">
      <w:pPr>
        <w:jc w:val="both"/>
        <w:rPr>
          <w:rFonts w:cstheme="minorHAnsi"/>
          <w:color w:val="000000" w:themeColor="text1"/>
          <w:sz w:val="26"/>
          <w:szCs w:val="26"/>
        </w:rPr>
      </w:pPr>
      <w:r w:rsidRPr="005720E3">
        <w:rPr>
          <w:rFonts w:cstheme="minorHAnsi"/>
          <w:b/>
          <w:color w:val="000000" w:themeColor="text1"/>
          <w:sz w:val="26"/>
          <w:szCs w:val="26"/>
        </w:rPr>
        <w:t xml:space="preserve">Objetivo específico: </w:t>
      </w:r>
      <w:r w:rsidRPr="00604839">
        <w:rPr>
          <w:rFonts w:cstheme="minorHAnsi"/>
          <w:color w:val="000000" w:themeColor="text1"/>
          <w:sz w:val="26"/>
          <w:szCs w:val="26"/>
        </w:rPr>
        <w:t>Promover y garantizar el derecho de acceso a la informaci</w:t>
      </w:r>
      <w:r w:rsidR="005720E3" w:rsidRPr="00604839">
        <w:rPr>
          <w:rFonts w:cstheme="minorHAnsi"/>
          <w:color w:val="000000" w:themeColor="text1"/>
          <w:sz w:val="26"/>
          <w:szCs w:val="26"/>
        </w:rPr>
        <w:t xml:space="preserve">ón en sus distintas modalidades, capacitación interna del personal de la institución, capacitación del personal de la unidad de transparencia para el desempeño de sus funciones. </w:t>
      </w:r>
    </w:p>
    <w:p w:rsidR="004239DD" w:rsidRPr="005720E3" w:rsidRDefault="004239DD" w:rsidP="005720E3">
      <w:pPr>
        <w:jc w:val="both"/>
        <w:rPr>
          <w:rFonts w:cstheme="minorHAnsi"/>
          <w:b/>
          <w:color w:val="000000" w:themeColor="text1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tbl>
      <w:tblPr>
        <w:tblStyle w:val="Tablaconcuadrcula"/>
        <w:tblW w:w="0" w:type="auto"/>
        <w:jc w:val="center"/>
        <w:tblInd w:w="-1558" w:type="dxa"/>
        <w:tblLook w:val="04A0"/>
      </w:tblPr>
      <w:tblGrid>
        <w:gridCol w:w="6061"/>
        <w:gridCol w:w="4926"/>
      </w:tblGrid>
      <w:tr w:rsidR="005B7953" w:rsidRPr="005B7953" w:rsidTr="005B7953">
        <w:trPr>
          <w:trHeight w:val="425"/>
          <w:jc w:val="center"/>
        </w:trPr>
        <w:tc>
          <w:tcPr>
            <w:tcW w:w="10987" w:type="dxa"/>
            <w:gridSpan w:val="2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 xml:space="preserve">ENERO </w:t>
            </w:r>
          </w:p>
        </w:tc>
      </w:tr>
      <w:tr w:rsidR="005B7953" w:rsidRPr="005B7953" w:rsidTr="005B7953">
        <w:trPr>
          <w:trHeight w:val="559"/>
          <w:jc w:val="center"/>
        </w:trPr>
        <w:tc>
          <w:tcPr>
            <w:tcW w:w="6061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color w:val="000000"/>
                <w:sz w:val="28"/>
                <w:szCs w:val="28"/>
              </w:rPr>
              <w:t>Impartición de curso a Consejos Distritales en materia de Transparencia.</w:t>
            </w:r>
          </w:p>
        </w:tc>
        <w:tc>
          <w:tcPr>
            <w:tcW w:w="4926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Auditorio del IEPC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9 y 10 de Enero</w:t>
            </w:r>
          </w:p>
        </w:tc>
      </w:tr>
      <w:tr w:rsidR="005B7953" w:rsidRPr="005B7953" w:rsidTr="005B7953">
        <w:trPr>
          <w:trHeight w:val="411"/>
          <w:jc w:val="center"/>
        </w:trPr>
        <w:tc>
          <w:tcPr>
            <w:tcW w:w="10987" w:type="dxa"/>
            <w:gridSpan w:val="2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FEBRERO</w:t>
            </w:r>
          </w:p>
        </w:tc>
      </w:tr>
      <w:tr w:rsidR="005B7953" w:rsidRPr="005B7953" w:rsidTr="005B7953">
        <w:trPr>
          <w:trHeight w:val="801"/>
          <w:jc w:val="center"/>
        </w:trPr>
        <w:tc>
          <w:tcPr>
            <w:tcW w:w="6061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color w:val="000000"/>
                <w:sz w:val="28"/>
                <w:szCs w:val="28"/>
              </w:rPr>
              <w:t>Asistencia del personal eventual a la impartición de curso de inducción en materia de Transparencia.</w:t>
            </w:r>
          </w:p>
        </w:tc>
        <w:tc>
          <w:tcPr>
            <w:tcW w:w="4926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Instalaciones del ITEI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eastAsia="Times New Roman" w:cstheme="minorHAnsi"/>
                <w:b/>
                <w:sz w:val="28"/>
                <w:szCs w:val="28"/>
              </w:rPr>
              <w:t>10 de febrero</w:t>
            </w:r>
          </w:p>
        </w:tc>
      </w:tr>
      <w:tr w:rsidR="005B7953" w:rsidRPr="005B7953" w:rsidTr="005B7953">
        <w:trPr>
          <w:trHeight w:val="982"/>
          <w:jc w:val="center"/>
        </w:trPr>
        <w:tc>
          <w:tcPr>
            <w:tcW w:w="6061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color w:val="000000"/>
                <w:sz w:val="28"/>
                <w:szCs w:val="28"/>
              </w:rPr>
              <w:t xml:space="preserve">Impartición de plática en los diversos Consejos Distritales, referente a las obligaciones que les corresponden en materia de Transparencia. </w:t>
            </w:r>
          </w:p>
        </w:tc>
        <w:tc>
          <w:tcPr>
            <w:tcW w:w="4926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Colotlán</w:t>
            </w:r>
            <w:proofErr w:type="spellEnd"/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,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Consejo Distrital 1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eastAsia="Times New Roman" w:cstheme="minorHAnsi"/>
                <w:b/>
                <w:sz w:val="28"/>
                <w:szCs w:val="28"/>
              </w:rPr>
              <w:t>17 de febrero</w:t>
            </w:r>
          </w:p>
        </w:tc>
      </w:tr>
      <w:tr w:rsidR="005B7953" w:rsidRPr="005B7953" w:rsidTr="005B7953">
        <w:trPr>
          <w:trHeight w:val="1128"/>
          <w:jc w:val="center"/>
        </w:trPr>
        <w:tc>
          <w:tcPr>
            <w:tcW w:w="6061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color w:val="000000"/>
                <w:sz w:val="28"/>
                <w:szCs w:val="28"/>
              </w:rPr>
              <w:t>Impartición de plática en los diversos Consejos Distritales, referente a las obligaciones que les corresponden en materia de Transparencia.</w:t>
            </w:r>
          </w:p>
        </w:tc>
        <w:tc>
          <w:tcPr>
            <w:tcW w:w="4926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 xml:space="preserve">Lagos de Moreno, </w:t>
            </w:r>
            <w:proofErr w:type="spellStart"/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Tepatitlán</w:t>
            </w:r>
            <w:proofErr w:type="spellEnd"/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 xml:space="preserve"> y La Barca,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Consejo distrital 3</w:t>
            </w:r>
          </w:p>
        </w:tc>
      </w:tr>
      <w:tr w:rsidR="005B7953" w:rsidRPr="005B7953" w:rsidTr="005B7953">
        <w:trPr>
          <w:trHeight w:val="1117"/>
          <w:jc w:val="center"/>
        </w:trPr>
        <w:tc>
          <w:tcPr>
            <w:tcW w:w="6061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color w:val="000000"/>
                <w:sz w:val="28"/>
                <w:szCs w:val="28"/>
              </w:rPr>
              <w:t>Impartición de plática en los diversos Consejos Distritales de la zona metropolitana de Guadalajara, referente a las obligaciones que les corresponden en materia de Transparencia.</w:t>
            </w:r>
          </w:p>
        </w:tc>
        <w:tc>
          <w:tcPr>
            <w:tcW w:w="4926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 xml:space="preserve">Auditorio del IEPC JALISCO 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23 de febrero</w:t>
            </w:r>
          </w:p>
        </w:tc>
      </w:tr>
      <w:tr w:rsidR="005B7953" w:rsidRPr="005B7953" w:rsidTr="005B7953">
        <w:trPr>
          <w:trHeight w:val="1412"/>
          <w:jc w:val="center"/>
        </w:trPr>
        <w:tc>
          <w:tcPr>
            <w:tcW w:w="6061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eastAsia="Times New Roman" w:cstheme="minorHAnsi"/>
                <w:color w:val="000000"/>
                <w:sz w:val="28"/>
                <w:szCs w:val="28"/>
                <w:lang w:eastAsia="es-MX"/>
              </w:rPr>
              <w:t xml:space="preserve">Asistencia al foro </w:t>
            </w:r>
            <w:proofErr w:type="gramStart"/>
            <w:r w:rsidRPr="005B7953">
              <w:rPr>
                <w:rFonts w:eastAsia="Times New Roman" w:cstheme="minorHAnsi"/>
                <w:color w:val="000000"/>
                <w:sz w:val="28"/>
                <w:szCs w:val="28"/>
                <w:lang w:eastAsia="es-MX"/>
              </w:rPr>
              <w:t>¿</w:t>
            </w:r>
            <w:proofErr w:type="gramEnd"/>
            <w:r w:rsidRPr="005B7953">
              <w:rPr>
                <w:rFonts w:eastAsia="Times New Roman" w:cstheme="minorHAnsi"/>
                <w:color w:val="000000"/>
                <w:sz w:val="28"/>
                <w:szCs w:val="28"/>
                <w:lang w:eastAsia="es-MX"/>
              </w:rPr>
              <w:t>Sabes quiénes te quiere representar". Proceso Electoral 2014-2015. Fortalecimiento para remodelar las relaciones entre electores y candidatos.</w:t>
            </w:r>
          </w:p>
        </w:tc>
        <w:tc>
          <w:tcPr>
            <w:tcW w:w="4926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Ciudad de México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26 de febrero</w:t>
            </w:r>
          </w:p>
        </w:tc>
      </w:tr>
    </w:tbl>
    <w:p w:rsidR="004239DD" w:rsidRPr="00126374" w:rsidRDefault="004239DD" w:rsidP="00604839">
      <w:pPr>
        <w:rPr>
          <w:rFonts w:cstheme="minorHAnsi"/>
          <w:color w:val="FF0000"/>
          <w:sz w:val="26"/>
          <w:szCs w:val="26"/>
        </w:rPr>
      </w:pPr>
    </w:p>
    <w:tbl>
      <w:tblPr>
        <w:tblStyle w:val="Tablaconcuadrcula"/>
        <w:tblW w:w="0" w:type="auto"/>
        <w:jc w:val="center"/>
        <w:tblInd w:w="-1698" w:type="dxa"/>
        <w:tblLook w:val="04A0"/>
      </w:tblPr>
      <w:tblGrid>
        <w:gridCol w:w="5972"/>
        <w:gridCol w:w="4801"/>
      </w:tblGrid>
      <w:tr w:rsidR="005B7953" w:rsidRPr="005B7953" w:rsidTr="005B7953">
        <w:trPr>
          <w:trHeight w:val="464"/>
          <w:jc w:val="center"/>
        </w:trPr>
        <w:tc>
          <w:tcPr>
            <w:tcW w:w="10773" w:type="dxa"/>
            <w:gridSpan w:val="2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lastRenderedPageBreak/>
              <w:t>ABRIL</w:t>
            </w:r>
          </w:p>
        </w:tc>
      </w:tr>
      <w:tr w:rsidR="005B7953" w:rsidRPr="005B7953" w:rsidTr="005B7953">
        <w:trPr>
          <w:trHeight w:val="936"/>
          <w:jc w:val="center"/>
        </w:trPr>
        <w:tc>
          <w:tcPr>
            <w:tcW w:w="5972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5B7953">
              <w:rPr>
                <w:rFonts w:cstheme="minorHAnsi"/>
                <w:color w:val="000000"/>
                <w:sz w:val="28"/>
                <w:szCs w:val="28"/>
              </w:rPr>
              <w:t>Impartición de plática en los diversos Consejos Distritales, referente a las obligaciones que les corresponden en materia de Transparencia.</w:t>
            </w:r>
          </w:p>
        </w:tc>
        <w:tc>
          <w:tcPr>
            <w:tcW w:w="4801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 xml:space="preserve">Consejo Distrital 5 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17 y 18 de abril</w:t>
            </w:r>
          </w:p>
        </w:tc>
      </w:tr>
      <w:tr w:rsidR="005B7953" w:rsidRPr="005B7953" w:rsidTr="005B7953">
        <w:trPr>
          <w:trHeight w:val="739"/>
          <w:jc w:val="center"/>
        </w:trPr>
        <w:tc>
          <w:tcPr>
            <w:tcW w:w="5972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>Exposición referente a la Transparencia Electoral.</w:t>
            </w:r>
          </w:p>
        </w:tc>
        <w:tc>
          <w:tcPr>
            <w:tcW w:w="4801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 xml:space="preserve">CUCEA 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23 de abril</w:t>
            </w:r>
          </w:p>
        </w:tc>
      </w:tr>
      <w:tr w:rsidR="005B7953" w:rsidRPr="005B7953" w:rsidTr="005B7953">
        <w:trPr>
          <w:trHeight w:val="977"/>
          <w:jc w:val="center"/>
        </w:trPr>
        <w:tc>
          <w:tcPr>
            <w:tcW w:w="5972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>Asistencia al foro ¿La Transparencia en las Instituciones Electorales Fortalecen la Democracia?</w:t>
            </w:r>
          </w:p>
        </w:tc>
        <w:tc>
          <w:tcPr>
            <w:tcW w:w="4801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Paraninfo de la Universidad de Guadalajara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27 de abril</w:t>
            </w:r>
          </w:p>
        </w:tc>
      </w:tr>
      <w:tr w:rsidR="005B7953" w:rsidRPr="005B7953" w:rsidTr="005B7953">
        <w:trPr>
          <w:trHeight w:val="283"/>
          <w:jc w:val="center"/>
        </w:trPr>
        <w:tc>
          <w:tcPr>
            <w:tcW w:w="10773" w:type="dxa"/>
            <w:gridSpan w:val="2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MAYO</w:t>
            </w:r>
          </w:p>
        </w:tc>
      </w:tr>
      <w:tr w:rsidR="005B7953" w:rsidRPr="005B7953" w:rsidTr="005B7953">
        <w:trPr>
          <w:trHeight w:val="981"/>
          <w:jc w:val="center"/>
        </w:trPr>
        <w:tc>
          <w:tcPr>
            <w:tcW w:w="5972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>Asistencia a diálogo sobre reformas y adecuaciones al marco normativo en materia de transparencia.</w:t>
            </w:r>
          </w:p>
        </w:tc>
        <w:tc>
          <w:tcPr>
            <w:tcW w:w="4801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>Congreso del Estado de Jalisco 19 de mayo</w:t>
            </w:r>
          </w:p>
        </w:tc>
      </w:tr>
      <w:tr w:rsidR="005B7953" w:rsidRPr="005B7953" w:rsidTr="005B7953">
        <w:trPr>
          <w:trHeight w:val="646"/>
          <w:jc w:val="center"/>
        </w:trPr>
        <w:tc>
          <w:tcPr>
            <w:tcW w:w="5972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>Asistencia al Seminario: Alcances y retos de la Ley General de Transparencia y Acceso a la Información Pública.</w:t>
            </w:r>
          </w:p>
        </w:tc>
        <w:tc>
          <w:tcPr>
            <w:tcW w:w="4801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>Ciudad de México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>28 y 29 de mayo</w:t>
            </w:r>
          </w:p>
        </w:tc>
      </w:tr>
    </w:tbl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5B7953" w:rsidRDefault="005B7953">
      <w:pPr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tbl>
      <w:tblPr>
        <w:tblStyle w:val="Tablaconcuadrcula"/>
        <w:tblW w:w="0" w:type="auto"/>
        <w:jc w:val="center"/>
        <w:tblInd w:w="-991" w:type="dxa"/>
        <w:tblLook w:val="04A0"/>
      </w:tblPr>
      <w:tblGrid>
        <w:gridCol w:w="5494"/>
        <w:gridCol w:w="4783"/>
      </w:tblGrid>
      <w:tr w:rsidR="005B7953" w:rsidRPr="005B7953" w:rsidTr="005B7953">
        <w:trPr>
          <w:trHeight w:val="447"/>
          <w:jc w:val="center"/>
        </w:trPr>
        <w:tc>
          <w:tcPr>
            <w:tcW w:w="10277" w:type="dxa"/>
            <w:gridSpan w:val="2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JULIO</w:t>
            </w:r>
          </w:p>
        </w:tc>
      </w:tr>
      <w:tr w:rsidR="005B7953" w:rsidRPr="005B7953" w:rsidTr="005B7953">
        <w:trPr>
          <w:trHeight w:val="567"/>
          <w:jc w:val="center"/>
        </w:trPr>
        <w:tc>
          <w:tcPr>
            <w:tcW w:w="5494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lastRenderedPageBreak/>
              <w:t>Asistencia al 3er Congreso Internacional de Ciencia Política.</w:t>
            </w:r>
          </w:p>
        </w:tc>
        <w:tc>
          <w:tcPr>
            <w:tcW w:w="4783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Paraninfo Universidad de Guadalajara 15 al 17 de julio</w:t>
            </w:r>
          </w:p>
        </w:tc>
      </w:tr>
      <w:tr w:rsidR="005B7953" w:rsidRPr="005B7953" w:rsidTr="005B7953">
        <w:trPr>
          <w:trHeight w:val="941"/>
          <w:jc w:val="center"/>
        </w:trPr>
        <w:tc>
          <w:tcPr>
            <w:tcW w:w="5494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sz w:val="28"/>
                <w:szCs w:val="28"/>
              </w:rPr>
              <w:t xml:space="preserve">Asistencia al segundo foro de consulta “Un Jalisco transparente: Trabajo de todos los días”, con el Diputado Hernán Cortés </w:t>
            </w:r>
            <w:proofErr w:type="spellStart"/>
            <w:r w:rsidRPr="005B7953">
              <w:rPr>
                <w:rFonts w:cstheme="minorHAnsi"/>
                <w:sz w:val="28"/>
                <w:szCs w:val="28"/>
              </w:rPr>
              <w:t>Berumen</w:t>
            </w:r>
            <w:proofErr w:type="spellEnd"/>
            <w:r w:rsidRPr="005B7953">
              <w:rPr>
                <w:rFonts w:cstheme="minorHAnsi"/>
                <w:sz w:val="28"/>
                <w:szCs w:val="28"/>
              </w:rPr>
              <w:t>.</w:t>
            </w:r>
          </w:p>
        </w:tc>
        <w:tc>
          <w:tcPr>
            <w:tcW w:w="4783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Club de Industriales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10 de julio</w:t>
            </w:r>
          </w:p>
        </w:tc>
      </w:tr>
      <w:tr w:rsidR="005B7953" w:rsidRPr="005B7953" w:rsidTr="005B7953">
        <w:trPr>
          <w:trHeight w:val="453"/>
          <w:jc w:val="center"/>
        </w:trPr>
        <w:tc>
          <w:tcPr>
            <w:tcW w:w="10277" w:type="dxa"/>
            <w:gridSpan w:val="2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SEPTIEMBRE</w:t>
            </w:r>
          </w:p>
        </w:tc>
      </w:tr>
      <w:tr w:rsidR="005B7953" w:rsidRPr="005B7953" w:rsidTr="005B7953">
        <w:trPr>
          <w:trHeight w:val="843"/>
          <w:jc w:val="center"/>
        </w:trPr>
        <w:tc>
          <w:tcPr>
            <w:tcW w:w="5494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color w:val="000000"/>
                <w:sz w:val="28"/>
                <w:szCs w:val="28"/>
              </w:rPr>
              <w:t>foro “Ejercicios Locales de Gobierno Abierto: Prácticas y Experiencias”</w:t>
            </w:r>
          </w:p>
        </w:tc>
        <w:tc>
          <w:tcPr>
            <w:tcW w:w="4783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5B7953">
              <w:rPr>
                <w:rFonts w:cstheme="minorHAnsi"/>
                <w:b/>
                <w:color w:val="000000"/>
                <w:sz w:val="28"/>
                <w:szCs w:val="28"/>
              </w:rPr>
              <w:t>Centro de la Amistad Internacional del DIF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color w:val="000000"/>
                <w:sz w:val="28"/>
                <w:szCs w:val="28"/>
              </w:rPr>
              <w:t>08 de Septiembre</w:t>
            </w:r>
          </w:p>
        </w:tc>
      </w:tr>
      <w:tr w:rsidR="005B7953" w:rsidRPr="005B7953" w:rsidTr="005B7953">
        <w:trPr>
          <w:jc w:val="center"/>
        </w:trPr>
        <w:tc>
          <w:tcPr>
            <w:tcW w:w="10277" w:type="dxa"/>
            <w:gridSpan w:val="2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sz w:val="28"/>
                <w:szCs w:val="28"/>
              </w:rPr>
              <w:t>NOVIEMBRE</w:t>
            </w:r>
          </w:p>
        </w:tc>
      </w:tr>
      <w:tr w:rsidR="005B7953" w:rsidRPr="005B7953" w:rsidTr="005B7953">
        <w:trPr>
          <w:jc w:val="center"/>
        </w:trPr>
        <w:tc>
          <w:tcPr>
            <w:tcW w:w="5494" w:type="dxa"/>
            <w:vAlign w:val="center"/>
          </w:tcPr>
          <w:p w:rsidR="005B7953" w:rsidRPr="005B7953" w:rsidRDefault="005B7953" w:rsidP="00E733A4">
            <w:pPr>
              <w:jc w:val="both"/>
              <w:rPr>
                <w:rFonts w:cstheme="minorHAnsi"/>
                <w:sz w:val="28"/>
                <w:szCs w:val="28"/>
              </w:rPr>
            </w:pPr>
            <w:proofErr w:type="gramStart"/>
            <w:r w:rsidRPr="005B7953">
              <w:rPr>
                <w:rFonts w:cstheme="minorHAnsi"/>
                <w:color w:val="000000"/>
                <w:sz w:val="28"/>
                <w:szCs w:val="28"/>
              </w:rPr>
              <w:t>conferencia</w:t>
            </w:r>
            <w:proofErr w:type="gramEnd"/>
            <w:r w:rsidRPr="005B7953">
              <w:rPr>
                <w:rFonts w:cstheme="minorHAnsi"/>
                <w:color w:val="000000"/>
                <w:sz w:val="28"/>
                <w:szCs w:val="28"/>
              </w:rPr>
              <w:t xml:space="preserve"> magistral </w:t>
            </w:r>
            <w:r w:rsidRPr="005B7953">
              <w:rPr>
                <w:rFonts w:cstheme="minorHAnsi"/>
                <w:i/>
                <w:color w:val="000000"/>
                <w:sz w:val="28"/>
                <w:szCs w:val="28"/>
              </w:rPr>
              <w:t>“La Democracia Sustantiva en América Latina y su impacto en los procesos electorales”.</w:t>
            </w:r>
          </w:p>
        </w:tc>
        <w:tc>
          <w:tcPr>
            <w:tcW w:w="4783" w:type="dxa"/>
            <w:vAlign w:val="center"/>
          </w:tcPr>
          <w:p w:rsidR="005B7953" w:rsidRPr="005B7953" w:rsidRDefault="005B7953" w:rsidP="00E733A4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Paraninfo Enrique Díaz de León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Universidad de Guadalajara</w:t>
            </w:r>
          </w:p>
          <w:p w:rsidR="005B7953" w:rsidRPr="005B7953" w:rsidRDefault="005B7953" w:rsidP="00E733A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B795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11 de noviembre</w:t>
            </w:r>
          </w:p>
        </w:tc>
      </w:tr>
    </w:tbl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5B7953" w:rsidRDefault="005B7953">
      <w:pPr>
        <w:rPr>
          <w:rFonts w:cstheme="minorHAnsi"/>
          <w:color w:val="FF0000"/>
          <w:sz w:val="26"/>
          <w:szCs w:val="26"/>
        </w:rPr>
      </w:pPr>
      <w:r>
        <w:rPr>
          <w:rFonts w:cstheme="minorHAnsi"/>
          <w:color w:val="FF0000"/>
          <w:sz w:val="26"/>
          <w:szCs w:val="26"/>
        </w:rPr>
        <w:br w:type="page"/>
      </w:r>
    </w:p>
    <w:p w:rsidR="004239DD" w:rsidRPr="00126374" w:rsidRDefault="004239DD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518E6" w:rsidRDefault="00E518E6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5B7953" w:rsidRPr="00126374" w:rsidRDefault="005B7953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518E6" w:rsidRPr="00126374" w:rsidRDefault="00E518E6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272157" w:rsidRPr="00126374" w:rsidRDefault="00272157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518E6" w:rsidRPr="00126374" w:rsidRDefault="00E518E6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614212" w:rsidRPr="00126374" w:rsidRDefault="00614212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518E6" w:rsidRPr="00126374" w:rsidRDefault="00E518E6" w:rsidP="00E518E6">
      <w:pPr>
        <w:jc w:val="center"/>
        <w:rPr>
          <w:rFonts w:cstheme="minorHAnsi"/>
          <w:b/>
          <w:sz w:val="60"/>
          <w:szCs w:val="60"/>
        </w:rPr>
      </w:pPr>
      <w:r w:rsidRPr="00126374">
        <w:rPr>
          <w:rFonts w:cstheme="minorHAnsi"/>
          <w:b/>
          <w:sz w:val="60"/>
          <w:szCs w:val="60"/>
        </w:rPr>
        <w:t>LA UNIDAD DE TRANSPARENCIA EN EL PROCESO ELECTORAL LOCAL ORDINARIO 2014-2015</w:t>
      </w:r>
    </w:p>
    <w:p w:rsidR="00E518E6" w:rsidRPr="00126374" w:rsidRDefault="00E518E6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14272" w:rsidRPr="00126374" w:rsidRDefault="00414272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14272" w:rsidRPr="00126374" w:rsidRDefault="00414272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14272" w:rsidRPr="00126374" w:rsidRDefault="00414272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14272" w:rsidRPr="00126374" w:rsidRDefault="00414272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414272" w:rsidRPr="00126374" w:rsidRDefault="00414272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156851" w:rsidRDefault="00156851" w:rsidP="00922B22">
      <w:pPr>
        <w:rPr>
          <w:rFonts w:cstheme="minorHAnsi"/>
          <w:b/>
          <w:color w:val="000000" w:themeColor="text1"/>
          <w:sz w:val="40"/>
          <w:szCs w:val="40"/>
        </w:rPr>
      </w:pPr>
    </w:p>
    <w:p w:rsidR="00414272" w:rsidRPr="00156851" w:rsidRDefault="00956CDE" w:rsidP="00E518E6">
      <w:pPr>
        <w:jc w:val="center"/>
        <w:rPr>
          <w:rFonts w:cstheme="minorHAnsi"/>
          <w:b/>
          <w:color w:val="000000" w:themeColor="text1"/>
          <w:sz w:val="40"/>
          <w:szCs w:val="40"/>
        </w:rPr>
      </w:pPr>
      <w:r w:rsidRPr="00156851">
        <w:rPr>
          <w:rFonts w:cstheme="minorHAnsi"/>
          <w:b/>
          <w:color w:val="000000" w:themeColor="text1"/>
          <w:sz w:val="40"/>
          <w:szCs w:val="40"/>
        </w:rPr>
        <w:t>PUBLICACIÓN DE CURRÍ</w:t>
      </w:r>
      <w:r w:rsidR="00860AF6" w:rsidRPr="00156851">
        <w:rPr>
          <w:rFonts w:cstheme="minorHAnsi"/>
          <w:b/>
          <w:color w:val="000000" w:themeColor="text1"/>
          <w:sz w:val="40"/>
          <w:szCs w:val="40"/>
        </w:rPr>
        <w:t>CULUMS PERFILES DE CANDIDATOS Y CANDIDATAS</w:t>
      </w:r>
    </w:p>
    <w:p w:rsidR="00922B22" w:rsidRDefault="00922B22" w:rsidP="007B63DB">
      <w:pPr>
        <w:ind w:firstLine="708"/>
        <w:jc w:val="both"/>
        <w:rPr>
          <w:rFonts w:cstheme="minorHAnsi"/>
          <w:sz w:val="40"/>
          <w:szCs w:val="40"/>
        </w:rPr>
      </w:pPr>
    </w:p>
    <w:p w:rsidR="004239DD" w:rsidRDefault="00860AF6" w:rsidP="007B63DB">
      <w:pPr>
        <w:ind w:firstLine="708"/>
        <w:jc w:val="both"/>
        <w:rPr>
          <w:rFonts w:cstheme="minorHAnsi"/>
          <w:sz w:val="40"/>
          <w:szCs w:val="40"/>
        </w:rPr>
      </w:pPr>
      <w:r w:rsidRPr="00156851">
        <w:rPr>
          <w:rFonts w:cstheme="minorHAnsi"/>
          <w:sz w:val="40"/>
          <w:szCs w:val="40"/>
        </w:rPr>
        <w:t xml:space="preserve">Por primera vez en la historia del IEPC Jalisco, se requirió a los partidos políticos para que los candidatos y candidatas a cargos de elección popular hicieran del escrutinio público su </w:t>
      </w:r>
      <w:r w:rsidR="0010663D" w:rsidRPr="00156851">
        <w:rPr>
          <w:rFonts w:cstheme="minorHAnsi"/>
          <w:sz w:val="40"/>
          <w:szCs w:val="40"/>
        </w:rPr>
        <w:t>currículum y perfil profesional</w:t>
      </w:r>
      <w:r w:rsidR="00604839">
        <w:rPr>
          <w:rFonts w:cstheme="minorHAnsi"/>
          <w:sz w:val="40"/>
          <w:szCs w:val="40"/>
        </w:rPr>
        <w:t>,</w:t>
      </w:r>
      <w:r w:rsidRPr="00156851">
        <w:rPr>
          <w:rFonts w:cstheme="minorHAnsi"/>
          <w:sz w:val="40"/>
          <w:szCs w:val="40"/>
        </w:rPr>
        <w:t xml:space="preserve"> a través del lle</w:t>
      </w:r>
      <w:r w:rsidR="00604839">
        <w:rPr>
          <w:rFonts w:cstheme="minorHAnsi"/>
          <w:sz w:val="40"/>
          <w:szCs w:val="40"/>
        </w:rPr>
        <w:t>nado de formatos que aprobó el C</w:t>
      </w:r>
      <w:r w:rsidR="0010663D" w:rsidRPr="00156851">
        <w:rPr>
          <w:rFonts w:cstheme="minorHAnsi"/>
          <w:sz w:val="40"/>
          <w:szCs w:val="40"/>
        </w:rPr>
        <w:t>on</w:t>
      </w:r>
      <w:r w:rsidR="00604839">
        <w:rPr>
          <w:rFonts w:cstheme="minorHAnsi"/>
          <w:sz w:val="40"/>
          <w:szCs w:val="40"/>
        </w:rPr>
        <w:t>sejo G</w:t>
      </w:r>
      <w:r w:rsidRPr="00156851">
        <w:rPr>
          <w:rFonts w:cstheme="minorHAnsi"/>
          <w:sz w:val="40"/>
          <w:szCs w:val="40"/>
        </w:rPr>
        <w:t>eneral</w:t>
      </w:r>
      <w:r w:rsidR="0010663D" w:rsidRPr="00156851">
        <w:rPr>
          <w:rFonts w:cstheme="minorHAnsi"/>
          <w:sz w:val="40"/>
          <w:szCs w:val="40"/>
        </w:rPr>
        <w:t xml:space="preserve"> de este instituto</w:t>
      </w:r>
      <w:r w:rsidRPr="00156851">
        <w:rPr>
          <w:rFonts w:cstheme="minorHAnsi"/>
          <w:sz w:val="40"/>
          <w:szCs w:val="40"/>
        </w:rPr>
        <w:t xml:space="preserve"> en el mes de abril del año 2015; ello de acuerdo con la legislación en materia de transparencia en el estado, que estipuló la public</w:t>
      </w:r>
      <w:r w:rsidR="00922B22">
        <w:rPr>
          <w:rFonts w:cstheme="minorHAnsi"/>
          <w:sz w:val="40"/>
          <w:szCs w:val="40"/>
        </w:rPr>
        <w:t xml:space="preserve">ación de la versión pública de dichos documentos.  </w:t>
      </w:r>
    </w:p>
    <w:p w:rsidR="00922B22" w:rsidRDefault="00922B22" w:rsidP="007B63DB">
      <w:pPr>
        <w:ind w:firstLine="708"/>
        <w:jc w:val="both"/>
        <w:rPr>
          <w:rFonts w:cstheme="minorHAnsi"/>
          <w:sz w:val="40"/>
          <w:szCs w:val="40"/>
        </w:rPr>
      </w:pPr>
    </w:p>
    <w:p w:rsidR="00922B22" w:rsidRPr="00156851" w:rsidRDefault="00922B22" w:rsidP="007B63DB">
      <w:pPr>
        <w:ind w:firstLine="708"/>
        <w:jc w:val="both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Lo anterior nos arrojó los siguientes resultados de participación:</w:t>
      </w:r>
    </w:p>
    <w:p w:rsidR="004239DD" w:rsidRPr="00126374" w:rsidRDefault="004239DD" w:rsidP="007B63DB">
      <w:pPr>
        <w:ind w:firstLine="708"/>
        <w:jc w:val="both"/>
        <w:rPr>
          <w:rFonts w:cstheme="minorHAnsi"/>
          <w:sz w:val="30"/>
          <w:szCs w:val="30"/>
        </w:rPr>
      </w:pPr>
    </w:p>
    <w:p w:rsidR="004239DD" w:rsidRPr="00126374" w:rsidRDefault="004239DD" w:rsidP="007B63DB">
      <w:pPr>
        <w:ind w:firstLine="708"/>
        <w:jc w:val="both"/>
        <w:rPr>
          <w:rFonts w:cstheme="minorHAnsi"/>
          <w:sz w:val="30"/>
          <w:szCs w:val="30"/>
        </w:rPr>
      </w:pPr>
    </w:p>
    <w:p w:rsidR="00860AF6" w:rsidRPr="00156851" w:rsidRDefault="00860AF6" w:rsidP="00860AF6">
      <w:pPr>
        <w:jc w:val="both"/>
        <w:rPr>
          <w:rFonts w:cstheme="minorHAnsi"/>
          <w:color w:val="7030A0"/>
          <w:sz w:val="30"/>
          <w:szCs w:val="30"/>
        </w:rPr>
      </w:pPr>
    </w:p>
    <w:p w:rsidR="00860AF6" w:rsidRPr="005F434B" w:rsidRDefault="00922B22" w:rsidP="00156851">
      <w:pPr>
        <w:jc w:val="center"/>
        <w:rPr>
          <w:rFonts w:cstheme="minorHAnsi"/>
          <w:b/>
          <w:color w:val="000000" w:themeColor="text1"/>
          <w:sz w:val="40"/>
          <w:szCs w:val="40"/>
        </w:rPr>
      </w:pPr>
      <w:r>
        <w:rPr>
          <w:rFonts w:cstheme="minorHAnsi"/>
          <w:b/>
          <w:color w:val="000000" w:themeColor="text1"/>
          <w:sz w:val="40"/>
          <w:szCs w:val="40"/>
        </w:rPr>
        <w:t>Presentación de currículum por partido político</w:t>
      </w:r>
    </w:p>
    <w:tbl>
      <w:tblPr>
        <w:tblW w:w="7883" w:type="dxa"/>
        <w:jc w:val="center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248"/>
        <w:gridCol w:w="1927"/>
        <w:gridCol w:w="1927"/>
        <w:gridCol w:w="1781"/>
      </w:tblGrid>
      <w:tr w:rsidR="00860AF6" w:rsidRPr="00126374" w:rsidTr="00860AF6">
        <w:trPr>
          <w:trHeight w:val="487"/>
          <w:jc w:val="center"/>
        </w:trPr>
        <w:tc>
          <w:tcPr>
            <w:tcW w:w="7883" w:type="dxa"/>
            <w:gridSpan w:val="4"/>
            <w:shd w:val="clear" w:color="auto" w:fill="auto"/>
            <w:noWrap/>
            <w:vAlign w:val="center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PROCESO ELECTORAL LOCAL ORDINARIO 2014-2015</w:t>
            </w:r>
          </w:p>
        </w:tc>
      </w:tr>
      <w:tr w:rsidR="00860AF6" w:rsidRPr="00126374" w:rsidTr="00860AF6">
        <w:trPr>
          <w:trHeight w:val="696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CURRICULUMS REQUERIDOS</w:t>
            </w:r>
          </w:p>
        </w:tc>
        <w:tc>
          <w:tcPr>
            <w:tcW w:w="1927" w:type="dxa"/>
            <w:shd w:val="clear" w:color="auto" w:fill="auto"/>
            <w:vAlign w:val="center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CURRICULUMS ENTREGADOS</w:t>
            </w: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PORCENTAJE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PAN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1367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1299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95.02560351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PRI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1271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1250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98.34775767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PRD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861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668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77.58420441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PT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595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225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37.81512605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PVEM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550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479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87.09090909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NALIANZA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875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700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80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MC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1879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1788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95.1569984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MORENA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1357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195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14.36993368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HUMANISTA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583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452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77.53001715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ENCUENTRO SOCIAL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663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587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88.53695324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PRI-PVEM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670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648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96.71641791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PAN-PRD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532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485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91.16541353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INDEPENDIENTES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102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28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27.45098039</w:t>
            </w:r>
          </w:p>
        </w:tc>
      </w:tr>
      <w:tr w:rsidR="00860AF6" w:rsidRPr="00126374" w:rsidTr="00860AF6">
        <w:trPr>
          <w:trHeight w:val="315"/>
          <w:jc w:val="center"/>
        </w:trPr>
        <w:tc>
          <w:tcPr>
            <w:tcW w:w="2248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11305</w:t>
            </w: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8804</w:t>
            </w:r>
          </w:p>
        </w:tc>
        <w:tc>
          <w:tcPr>
            <w:tcW w:w="1781" w:type="dxa"/>
            <w:shd w:val="clear" w:color="auto" w:fill="auto"/>
            <w:noWrap/>
            <w:vAlign w:val="bottom"/>
            <w:hideMark/>
          </w:tcPr>
          <w:p w:rsidR="00860AF6" w:rsidRPr="00126374" w:rsidRDefault="00860AF6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77.87704556</w:t>
            </w:r>
          </w:p>
        </w:tc>
      </w:tr>
    </w:tbl>
    <w:p w:rsidR="00860AF6" w:rsidRPr="00126374" w:rsidRDefault="00860AF6" w:rsidP="00860AF6">
      <w:pPr>
        <w:jc w:val="both"/>
        <w:rPr>
          <w:rFonts w:cstheme="minorHAnsi"/>
          <w:sz w:val="30"/>
          <w:szCs w:val="30"/>
        </w:rPr>
      </w:pPr>
    </w:p>
    <w:p w:rsidR="00860AF6" w:rsidRPr="00126374" w:rsidRDefault="00860AF6" w:rsidP="00E518E6">
      <w:pPr>
        <w:jc w:val="center"/>
        <w:rPr>
          <w:rFonts w:cstheme="minorHAnsi"/>
          <w:color w:val="FF0000"/>
          <w:sz w:val="26"/>
          <w:szCs w:val="26"/>
        </w:rPr>
      </w:pPr>
    </w:p>
    <w:p w:rsidR="00E518E6" w:rsidRPr="00126374" w:rsidRDefault="00E518E6" w:rsidP="00E518E6">
      <w:pPr>
        <w:jc w:val="center"/>
        <w:rPr>
          <w:rFonts w:cstheme="minorHAnsi"/>
          <w:b/>
          <w:sz w:val="26"/>
          <w:szCs w:val="26"/>
        </w:rPr>
      </w:pPr>
    </w:p>
    <w:p w:rsidR="00B04D33" w:rsidRPr="00126374" w:rsidRDefault="00B04D33">
      <w:pPr>
        <w:rPr>
          <w:rFonts w:cstheme="minorHAnsi"/>
        </w:rPr>
      </w:pPr>
    </w:p>
    <w:p w:rsidR="007B63DB" w:rsidRPr="00126374" w:rsidRDefault="007B63DB">
      <w:pPr>
        <w:rPr>
          <w:rFonts w:cstheme="minorHAnsi"/>
        </w:rPr>
      </w:pPr>
    </w:p>
    <w:p w:rsidR="00922B22" w:rsidRPr="00922B22" w:rsidRDefault="007B63DB" w:rsidP="00922B22">
      <w:pPr>
        <w:jc w:val="center"/>
        <w:rPr>
          <w:rFonts w:cstheme="minorHAnsi"/>
        </w:rPr>
      </w:pPr>
      <w:r w:rsidRPr="00126374">
        <w:rPr>
          <w:rFonts w:cstheme="minorHAnsi"/>
          <w:noProof/>
          <w:sz w:val="24"/>
          <w:szCs w:val="24"/>
          <w:lang w:eastAsia="es-MX"/>
        </w:rPr>
        <w:drawing>
          <wp:inline distT="0" distB="0" distL="0" distR="0">
            <wp:extent cx="7125195" cy="3752603"/>
            <wp:effectExtent l="0" t="0" r="19050" b="19685"/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B63DB" w:rsidRPr="00922B22" w:rsidRDefault="00922B22" w:rsidP="00922B22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lastRenderedPageBreak/>
        <w:t>A raíz de la presentación de currículum, la UTI realizó una estadística con perspectiva de género</w:t>
      </w:r>
    </w:p>
    <w:tbl>
      <w:tblPr>
        <w:tblpPr w:leftFromText="141" w:rightFromText="141" w:vertAnchor="text" w:horzAnchor="margin" w:tblpXSpec="center" w:tblpY="639"/>
        <w:tblW w:w="10360" w:type="dxa"/>
        <w:tblCellMar>
          <w:left w:w="70" w:type="dxa"/>
          <w:right w:w="70" w:type="dxa"/>
        </w:tblCellMar>
        <w:tblLook w:val="04A0"/>
      </w:tblPr>
      <w:tblGrid>
        <w:gridCol w:w="1271"/>
        <w:gridCol w:w="1668"/>
        <w:gridCol w:w="1668"/>
        <w:gridCol w:w="1668"/>
        <w:gridCol w:w="1668"/>
        <w:gridCol w:w="1472"/>
        <w:gridCol w:w="945"/>
      </w:tblGrid>
      <w:tr w:rsidR="00922B22" w:rsidRPr="00126374" w:rsidTr="00922B22">
        <w:trPr>
          <w:trHeight w:val="372"/>
        </w:trPr>
        <w:tc>
          <w:tcPr>
            <w:tcW w:w="103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FFFFFF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iCs/>
                <w:color w:val="FFFFFF"/>
                <w:lang w:eastAsia="es-MX"/>
              </w:rPr>
              <w:t>CANDIDATOS/AS PROCESO ELECTORAL LOCAL ORDINARIO 2014-2015</w:t>
            </w:r>
          </w:p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FFFFFF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iCs/>
                <w:color w:val="FFFFFF"/>
                <w:lang w:eastAsia="es-MX"/>
              </w:rPr>
              <w:t xml:space="preserve">Información a partir de los </w:t>
            </w:r>
            <w:proofErr w:type="spellStart"/>
            <w:r w:rsidRPr="00126374">
              <w:rPr>
                <w:rFonts w:eastAsia="Times New Roman" w:cstheme="minorHAnsi"/>
                <w:b/>
                <w:bCs/>
                <w:iCs/>
                <w:color w:val="FFFFFF"/>
                <w:lang w:eastAsia="es-MX"/>
              </w:rPr>
              <w:t>currículums</w:t>
            </w:r>
            <w:proofErr w:type="spellEnd"/>
            <w:r w:rsidRPr="00126374">
              <w:rPr>
                <w:rFonts w:eastAsia="Times New Roman" w:cstheme="minorHAnsi"/>
                <w:b/>
                <w:bCs/>
                <w:iCs/>
                <w:color w:val="FFFFFF"/>
                <w:lang w:eastAsia="es-MX"/>
              </w:rPr>
              <w:t xml:space="preserve"> presentados</w:t>
            </w:r>
          </w:p>
        </w:tc>
      </w:tr>
      <w:tr w:rsidR="00922B22" w:rsidRPr="00126374" w:rsidTr="00922B22">
        <w:trPr>
          <w:trHeight w:val="372"/>
        </w:trPr>
        <w:tc>
          <w:tcPr>
            <w:tcW w:w="103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FFFFFF"/>
                <w:lang w:eastAsia="es-MX"/>
              </w:rPr>
            </w:pPr>
          </w:p>
        </w:tc>
      </w:tr>
      <w:tr w:rsidR="00922B22" w:rsidRPr="00126374" w:rsidTr="00922B22">
        <w:trPr>
          <w:trHeight w:val="89"/>
        </w:trPr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</w:tr>
      <w:tr w:rsidR="00922B22" w:rsidRPr="00126374" w:rsidTr="00922B22">
        <w:trPr>
          <w:trHeight w:val="330"/>
        </w:trPr>
        <w:tc>
          <w:tcPr>
            <w:tcW w:w="10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>EDAD</w:t>
            </w:r>
          </w:p>
        </w:tc>
      </w:tr>
      <w:tr w:rsidR="00922B22" w:rsidRPr="00126374" w:rsidTr="00922B22">
        <w:trPr>
          <w:trHeight w:val="3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18-24 AÑOS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25-34 AÑOS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35-44 AÑOS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45-54 AÑOS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55 + AÑOS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TOTAL</w:t>
            </w:r>
          </w:p>
        </w:tc>
      </w:tr>
      <w:tr w:rsidR="00922B22" w:rsidRPr="00126374" w:rsidTr="00922B22">
        <w:trPr>
          <w:trHeight w:val="3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HOMBRES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534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1299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1269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1050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713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4865</w:t>
            </w:r>
          </w:p>
        </w:tc>
      </w:tr>
      <w:tr w:rsidR="00922B22" w:rsidRPr="00126374" w:rsidTr="00922B22">
        <w:trPr>
          <w:trHeight w:val="3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lang w:eastAsia="es-MX"/>
              </w:rPr>
              <w:t>MUJERES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671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1278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999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676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lang w:eastAsia="es-MX"/>
              </w:rPr>
              <w:t>315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3939</w:t>
            </w:r>
          </w:p>
        </w:tc>
      </w:tr>
      <w:tr w:rsidR="00922B22" w:rsidRPr="00126374" w:rsidTr="00922B22">
        <w:trPr>
          <w:trHeight w:val="330"/>
        </w:trPr>
        <w:tc>
          <w:tcPr>
            <w:tcW w:w="9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B22" w:rsidRPr="00126374" w:rsidRDefault="00922B22" w:rsidP="00922B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8804</w:t>
            </w:r>
          </w:p>
        </w:tc>
      </w:tr>
    </w:tbl>
    <w:p w:rsidR="007B63DB" w:rsidRPr="00126374" w:rsidRDefault="007B63DB" w:rsidP="00922B22">
      <w:pPr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  <w:r w:rsidRPr="00126374">
        <w:rPr>
          <w:rFonts w:cstheme="minorHAnsi"/>
          <w:noProof/>
          <w:sz w:val="24"/>
          <w:szCs w:val="24"/>
          <w:lang w:eastAsia="es-MX"/>
        </w:rPr>
        <w:drawing>
          <wp:inline distT="0" distB="0" distL="0" distR="0">
            <wp:extent cx="6248400" cy="2143125"/>
            <wp:effectExtent l="19050" t="0" r="19050" b="0"/>
            <wp:docPr id="3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p w:rsidR="007B63DB" w:rsidRPr="00126374" w:rsidRDefault="007B63DB" w:rsidP="007B63DB">
      <w:pPr>
        <w:jc w:val="center"/>
        <w:rPr>
          <w:rFonts w:cstheme="minorHAnsi"/>
        </w:rPr>
      </w:pPr>
    </w:p>
    <w:tbl>
      <w:tblPr>
        <w:tblW w:w="10774" w:type="dxa"/>
        <w:jc w:val="center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7"/>
        <w:gridCol w:w="1275"/>
        <w:gridCol w:w="1098"/>
        <w:gridCol w:w="1360"/>
        <w:gridCol w:w="1370"/>
        <w:gridCol w:w="1559"/>
        <w:gridCol w:w="1417"/>
        <w:gridCol w:w="1418"/>
      </w:tblGrid>
      <w:tr w:rsidR="007B63DB" w:rsidRPr="00126374" w:rsidTr="007B63DB">
        <w:trPr>
          <w:trHeight w:val="420"/>
          <w:jc w:val="center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  <w:t>TOTAL DE CANDIDATOS PORCENTAJES</w:t>
            </w:r>
          </w:p>
        </w:tc>
      </w:tr>
      <w:tr w:rsidR="007B63DB" w:rsidRPr="00126374" w:rsidTr="007B63DB">
        <w:trPr>
          <w:trHeight w:val="300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PRESIDENTES MUNICIPALES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SÍNDICOS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REGIDORES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DIPUTADOS</w:t>
            </w:r>
          </w:p>
        </w:tc>
      </w:tr>
      <w:tr w:rsidR="007B63DB" w:rsidRPr="00126374" w:rsidTr="007B63DB">
        <w:trPr>
          <w:trHeight w:val="33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</w:tr>
      <w:tr w:rsidR="007B63DB" w:rsidRPr="00126374" w:rsidTr="007B63DB">
        <w:trPr>
          <w:trHeight w:val="36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2974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169</w:t>
            </w:r>
          </w:p>
        </w:tc>
      </w:tr>
      <w:tr w:rsidR="007B63DB" w:rsidRPr="00126374" w:rsidTr="007B63DB">
        <w:trPr>
          <w:trHeight w:val="36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91.66%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8.33%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63.80%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36.19%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47.51%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52.48%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51.15%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48.84%</w:t>
            </w:r>
          </w:p>
        </w:tc>
      </w:tr>
      <w:tr w:rsidR="007B63DB" w:rsidRPr="00126374" w:rsidTr="007B63DB">
        <w:trPr>
          <w:trHeight w:val="375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  <w:t>1116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  <w:t>1083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  <w:t>6259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7B63DB" w:rsidRPr="00126374" w:rsidRDefault="007B63DB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es-MX"/>
              </w:rPr>
              <w:t>346</w:t>
            </w:r>
          </w:p>
        </w:tc>
      </w:tr>
    </w:tbl>
    <w:p w:rsidR="007B63DB" w:rsidRPr="00126374" w:rsidRDefault="007B63DB" w:rsidP="007B63DB">
      <w:pPr>
        <w:jc w:val="center"/>
        <w:rPr>
          <w:rFonts w:cstheme="minorHAnsi"/>
        </w:rPr>
      </w:pPr>
    </w:p>
    <w:p w:rsidR="000F71C4" w:rsidRPr="00126374" w:rsidRDefault="000F71C4" w:rsidP="007B63DB">
      <w:pPr>
        <w:jc w:val="center"/>
        <w:rPr>
          <w:rFonts w:cstheme="minorHAnsi"/>
        </w:rPr>
      </w:pPr>
    </w:p>
    <w:p w:rsidR="000F71C4" w:rsidRPr="00126374" w:rsidRDefault="000F71C4" w:rsidP="007B63DB">
      <w:pPr>
        <w:jc w:val="center"/>
        <w:rPr>
          <w:rFonts w:cstheme="minorHAnsi"/>
        </w:rPr>
      </w:pPr>
    </w:p>
    <w:p w:rsidR="000F71C4" w:rsidRPr="00126374" w:rsidRDefault="000F71C4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tbl>
      <w:tblPr>
        <w:tblpPr w:leftFromText="141" w:rightFromText="141" w:vertAnchor="text" w:horzAnchor="margin" w:tblpXSpec="center" w:tblpY="-51"/>
        <w:tblW w:w="1146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3"/>
        <w:gridCol w:w="851"/>
        <w:gridCol w:w="217"/>
        <w:gridCol w:w="617"/>
        <w:gridCol w:w="822"/>
        <w:gridCol w:w="344"/>
        <w:gridCol w:w="479"/>
        <w:gridCol w:w="818"/>
        <w:gridCol w:w="634"/>
        <w:gridCol w:w="256"/>
        <w:gridCol w:w="892"/>
        <w:gridCol w:w="822"/>
        <w:gridCol w:w="155"/>
        <w:gridCol w:w="160"/>
        <w:gridCol w:w="442"/>
        <w:gridCol w:w="959"/>
        <w:gridCol w:w="31"/>
        <w:gridCol w:w="655"/>
        <w:gridCol w:w="14"/>
        <w:gridCol w:w="160"/>
        <w:gridCol w:w="866"/>
      </w:tblGrid>
      <w:tr w:rsidR="009D2AFA" w:rsidRPr="00126374" w:rsidTr="001437E8">
        <w:trPr>
          <w:trHeight w:val="395"/>
        </w:trPr>
        <w:tc>
          <w:tcPr>
            <w:tcW w:w="1146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FFFFFF"/>
                <w:sz w:val="24"/>
                <w:szCs w:val="24"/>
                <w:lang w:eastAsia="es-MX"/>
              </w:rPr>
              <w:t>CONCENTRADO GENERAL POR CARGO DE ELECCIÓN POPULAR</w:t>
            </w:r>
          </w:p>
        </w:tc>
      </w:tr>
      <w:tr w:rsidR="009D2AFA" w:rsidRPr="00126374" w:rsidTr="001437E8">
        <w:trPr>
          <w:trHeight w:val="281"/>
        </w:trPr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EDAD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PRESIDENTES MUNICIPALES</w:t>
            </w: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SÍNDICOS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REGIDORES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DIPUTADOS</w:t>
            </w:r>
          </w:p>
        </w:tc>
        <w:tc>
          <w:tcPr>
            <w:tcW w:w="2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TOTAL %</w:t>
            </w:r>
          </w:p>
        </w:tc>
      </w:tr>
      <w:tr w:rsidR="009D2AFA" w:rsidRPr="00126374" w:rsidTr="001437E8">
        <w:trPr>
          <w:trHeight w:val="281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H %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M %</w:t>
            </w: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18-24 años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53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99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367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571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534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10.97%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671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17.03%</w:t>
            </w: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25-34 años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225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241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154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791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1052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1299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26.70%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1278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32.44%</w:t>
            </w: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35-44 años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281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164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754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842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1269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26.08%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999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25.36%</w:t>
            </w: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45-54 años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273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116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627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558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1050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21.58%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676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17.16%</w:t>
            </w: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55 o más años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191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435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262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26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713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14.65%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315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7.99%</w:t>
            </w: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1023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691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392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2974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3285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177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169</w:t>
            </w:r>
          </w:p>
        </w:tc>
        <w:tc>
          <w:tcPr>
            <w:tcW w:w="1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4865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3939</w:t>
            </w:r>
          </w:p>
        </w:tc>
      </w:tr>
      <w:tr w:rsidR="009D2AFA" w:rsidRPr="00126374" w:rsidTr="001437E8">
        <w:trPr>
          <w:trHeight w:val="306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Porcentajes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91.66%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8.33%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63.80%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36.19%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47.51%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52.48%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51.15%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48.84%</w:t>
            </w:r>
          </w:p>
        </w:tc>
        <w:tc>
          <w:tcPr>
            <w:tcW w:w="1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55.25%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2A1C7" w:themeFill="accent4" w:themeFillTint="99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44.74%</w:t>
            </w:r>
          </w:p>
        </w:tc>
      </w:tr>
      <w:tr w:rsidR="009D2AFA" w:rsidRPr="00126374" w:rsidTr="001437E8">
        <w:trPr>
          <w:trHeight w:val="281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MX"/>
              </w:rPr>
              <w:t>TOTAL DE CANDIDATOS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1116</w:t>
            </w:r>
          </w:p>
        </w:tc>
        <w:tc>
          <w:tcPr>
            <w:tcW w:w="16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1083</w:t>
            </w:r>
          </w:p>
        </w:tc>
        <w:tc>
          <w:tcPr>
            <w:tcW w:w="1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6259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346</w:t>
            </w:r>
          </w:p>
        </w:tc>
        <w:tc>
          <w:tcPr>
            <w:tcW w:w="343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263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8804</w:t>
            </w:r>
          </w:p>
        </w:tc>
      </w:tr>
      <w:tr w:rsidR="009D2AFA" w:rsidRPr="00126374" w:rsidTr="001437E8">
        <w:trPr>
          <w:trHeight w:val="244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3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9D2AFA" w:rsidRPr="00126374" w:rsidTr="001437E8">
        <w:trPr>
          <w:trHeight w:val="23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FA" w:rsidRPr="00126374" w:rsidRDefault="009D2AFA" w:rsidP="001437E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22B22" w:rsidP="007B63DB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>Concentrado general por cargo de elección popular</w:t>
      </w: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  <w:r w:rsidRPr="00126374">
        <w:rPr>
          <w:rFonts w:cstheme="minorHAnsi"/>
          <w:noProof/>
          <w:sz w:val="24"/>
          <w:szCs w:val="24"/>
          <w:lang w:eastAsia="es-MX"/>
        </w:rPr>
        <w:drawing>
          <wp:inline distT="0" distB="0" distL="0" distR="0">
            <wp:extent cx="6724650" cy="2057400"/>
            <wp:effectExtent l="19050" t="0" r="19050" b="0"/>
            <wp:docPr id="8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922B22" w:rsidRDefault="009D2AFA" w:rsidP="00272157">
      <w:pPr>
        <w:jc w:val="center"/>
        <w:rPr>
          <w:rFonts w:cstheme="minorHAnsi"/>
          <w:color w:val="262626" w:themeColor="text1" w:themeTint="D9"/>
          <w:sz w:val="60"/>
          <w:szCs w:val="60"/>
        </w:rPr>
      </w:pPr>
      <w:r w:rsidRPr="00922B22">
        <w:rPr>
          <w:rFonts w:cstheme="minorHAnsi"/>
          <w:color w:val="262626" w:themeColor="text1" w:themeTint="D9"/>
          <w:sz w:val="60"/>
          <w:szCs w:val="60"/>
        </w:rPr>
        <w:t xml:space="preserve">Durante el </w:t>
      </w:r>
      <w:r w:rsidRPr="00922B22">
        <w:rPr>
          <w:rFonts w:cstheme="minorHAnsi"/>
          <w:color w:val="7030A0"/>
          <w:sz w:val="60"/>
          <w:szCs w:val="60"/>
        </w:rPr>
        <w:t>proceso electoral local ordinario 2014-2015</w:t>
      </w:r>
      <w:r w:rsidRPr="00922B22">
        <w:rPr>
          <w:rFonts w:cstheme="minorHAnsi"/>
          <w:color w:val="262626" w:themeColor="text1" w:themeTint="D9"/>
          <w:sz w:val="60"/>
          <w:szCs w:val="60"/>
        </w:rPr>
        <w:t>, se trabajó de manera conjunta con la Secretaría Ejecutiva con la finalidad de expedir documentación a la ciudadanía, partidos políticos, instituciones públicas</w:t>
      </w:r>
      <w:r w:rsidR="003B1820" w:rsidRPr="00922B22">
        <w:rPr>
          <w:rFonts w:cstheme="minorHAnsi"/>
          <w:color w:val="262626" w:themeColor="text1" w:themeTint="D9"/>
          <w:sz w:val="60"/>
          <w:szCs w:val="60"/>
        </w:rPr>
        <w:t>, organizaciones</w:t>
      </w:r>
      <w:r w:rsidRPr="00922B22">
        <w:rPr>
          <w:rFonts w:cstheme="minorHAnsi"/>
          <w:color w:val="262626" w:themeColor="text1" w:themeTint="D9"/>
          <w:sz w:val="60"/>
          <w:szCs w:val="60"/>
        </w:rPr>
        <w:t xml:space="preserve"> de la sociedad civil, entregándose al 100 por ciento en tiempo y forma a los peticionarios.</w:t>
      </w:r>
    </w:p>
    <w:p w:rsidR="00956CDE" w:rsidRPr="00126374" w:rsidRDefault="00956CDE" w:rsidP="00272157">
      <w:pPr>
        <w:jc w:val="center"/>
        <w:rPr>
          <w:rFonts w:cstheme="minorHAnsi"/>
          <w:b/>
          <w:color w:val="262626" w:themeColor="text1" w:themeTint="D9"/>
          <w:sz w:val="60"/>
          <w:szCs w:val="60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6559E8" w:rsidRPr="00126374" w:rsidRDefault="006559E8" w:rsidP="007B63DB">
      <w:pPr>
        <w:jc w:val="center"/>
        <w:rPr>
          <w:rFonts w:cstheme="minorHAnsi"/>
        </w:rPr>
      </w:pPr>
    </w:p>
    <w:p w:rsidR="006559E8" w:rsidRPr="00126374" w:rsidRDefault="006559E8" w:rsidP="007B63DB">
      <w:pPr>
        <w:jc w:val="center"/>
        <w:rPr>
          <w:rFonts w:cstheme="minorHAnsi"/>
        </w:rPr>
      </w:pPr>
    </w:p>
    <w:tbl>
      <w:tblPr>
        <w:tblW w:w="6499" w:type="dxa"/>
        <w:jc w:val="center"/>
        <w:tblInd w:w="1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73"/>
        <w:gridCol w:w="2126"/>
      </w:tblGrid>
      <w:tr w:rsidR="006559E8" w:rsidRPr="00126374" w:rsidTr="006559E8">
        <w:trPr>
          <w:trHeight w:val="1179"/>
          <w:jc w:val="center"/>
        </w:trPr>
        <w:tc>
          <w:tcPr>
            <w:tcW w:w="6499" w:type="dxa"/>
            <w:gridSpan w:val="2"/>
            <w:shd w:val="clear" w:color="auto" w:fill="auto"/>
            <w:noWrap/>
            <w:vAlign w:val="center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PROCESO ELECTORAL LOCAL ORDINARIO 2014-2015</w:t>
            </w:r>
          </w:p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</w:p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Certificación de documentación y/o copias simples</w:t>
            </w:r>
          </w:p>
        </w:tc>
      </w:tr>
      <w:tr w:rsidR="006559E8" w:rsidRPr="00126374" w:rsidTr="006559E8">
        <w:trPr>
          <w:trHeight w:val="478"/>
          <w:jc w:val="center"/>
        </w:trPr>
        <w:tc>
          <w:tcPr>
            <w:tcW w:w="4373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Acuerdos del Consejo General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415</w:t>
            </w:r>
          </w:p>
        </w:tc>
      </w:tr>
      <w:tr w:rsidR="006559E8" w:rsidRPr="00126374" w:rsidTr="006559E8">
        <w:trPr>
          <w:trHeight w:val="508"/>
          <w:jc w:val="center"/>
        </w:trPr>
        <w:tc>
          <w:tcPr>
            <w:tcW w:w="4373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 xml:space="preserve">Constancias de Mayoría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4532</w:t>
            </w:r>
          </w:p>
        </w:tc>
      </w:tr>
      <w:tr w:rsidR="006559E8" w:rsidRPr="00126374" w:rsidTr="006559E8">
        <w:trPr>
          <w:trHeight w:val="827"/>
          <w:jc w:val="center"/>
        </w:trPr>
        <w:tc>
          <w:tcPr>
            <w:tcW w:w="4373" w:type="dxa"/>
            <w:shd w:val="clear" w:color="auto" w:fill="auto"/>
            <w:vAlign w:val="center"/>
            <w:hideMark/>
          </w:tcPr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Nombramientos de Representantes de Partidos ante el Consejo General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87</w:t>
            </w:r>
          </w:p>
        </w:tc>
      </w:tr>
      <w:tr w:rsidR="006559E8" w:rsidRPr="00126374" w:rsidTr="006559E8">
        <w:trPr>
          <w:trHeight w:val="900"/>
          <w:jc w:val="center"/>
        </w:trPr>
        <w:tc>
          <w:tcPr>
            <w:tcW w:w="4373" w:type="dxa"/>
            <w:shd w:val="clear" w:color="auto" w:fill="auto"/>
            <w:vAlign w:val="center"/>
            <w:hideMark/>
          </w:tcPr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 xml:space="preserve">Actas de Jornada </w:t>
            </w:r>
          </w:p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(peticiones requeridas)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32</w:t>
            </w:r>
          </w:p>
        </w:tc>
      </w:tr>
      <w:tr w:rsidR="006559E8" w:rsidRPr="00126374" w:rsidTr="006559E8">
        <w:trPr>
          <w:trHeight w:val="1504"/>
          <w:jc w:val="center"/>
        </w:trPr>
        <w:tc>
          <w:tcPr>
            <w:tcW w:w="4373" w:type="dxa"/>
            <w:shd w:val="clear" w:color="auto" w:fill="auto"/>
            <w:vAlign w:val="center"/>
            <w:hideMark/>
          </w:tcPr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Guillermo Cienfuegos</w:t>
            </w:r>
          </w:p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(copias documentación presentada ante este Instituto de las copias de la credenciales para votar)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6559E8" w:rsidRPr="00126374" w:rsidTr="006559E8">
        <w:trPr>
          <w:trHeight w:val="459"/>
          <w:jc w:val="center"/>
        </w:trPr>
        <w:tc>
          <w:tcPr>
            <w:tcW w:w="4373" w:type="dxa"/>
            <w:shd w:val="clear" w:color="auto" w:fill="auto"/>
            <w:vAlign w:val="center"/>
            <w:hideMark/>
          </w:tcPr>
          <w:p w:rsidR="006559E8" w:rsidRPr="00126374" w:rsidRDefault="006559E8" w:rsidP="0027215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Diversa documentación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246</w:t>
            </w:r>
          </w:p>
        </w:tc>
      </w:tr>
      <w:tr w:rsidR="006559E8" w:rsidRPr="00126374" w:rsidTr="006559E8">
        <w:trPr>
          <w:trHeight w:val="300"/>
          <w:jc w:val="center"/>
        </w:trPr>
        <w:tc>
          <w:tcPr>
            <w:tcW w:w="4373" w:type="dxa"/>
            <w:shd w:val="clear" w:color="auto" w:fill="auto"/>
            <w:vAlign w:val="bottom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TOTAL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559E8" w:rsidRPr="00126374" w:rsidRDefault="006559E8" w:rsidP="001437E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5</w:t>
            </w:r>
            <w:r w:rsidR="00272157"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,</w:t>
            </w:r>
            <w:r w:rsidRPr="00126374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313</w:t>
            </w:r>
          </w:p>
        </w:tc>
      </w:tr>
    </w:tbl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9D2AFA" w:rsidRPr="00126374" w:rsidRDefault="009D2AFA" w:rsidP="007B63DB">
      <w:pPr>
        <w:jc w:val="center"/>
        <w:rPr>
          <w:rFonts w:cstheme="minorHAnsi"/>
        </w:rPr>
      </w:pPr>
    </w:p>
    <w:p w:rsidR="00E7497B" w:rsidRPr="00126374" w:rsidRDefault="00E7497B" w:rsidP="00E7497B">
      <w:pPr>
        <w:jc w:val="both"/>
        <w:rPr>
          <w:rFonts w:cstheme="minorHAnsi"/>
          <w:noProof/>
          <w:lang w:val="es-ES"/>
        </w:rPr>
      </w:pPr>
    </w:p>
    <w:p w:rsidR="00E7497B" w:rsidRPr="00126374" w:rsidRDefault="001772A8" w:rsidP="00E7497B">
      <w:pPr>
        <w:jc w:val="center"/>
        <w:rPr>
          <w:rFonts w:cstheme="minorHAnsi"/>
          <w:b/>
          <w:color w:val="262626" w:themeColor="text1" w:themeTint="D9"/>
          <w:sz w:val="60"/>
          <w:szCs w:val="60"/>
        </w:rPr>
      </w:pPr>
      <w:r>
        <w:rPr>
          <w:rFonts w:cstheme="minorHAnsi"/>
          <w:b/>
          <w:color w:val="262626" w:themeColor="text1" w:themeTint="D9"/>
          <w:sz w:val="60"/>
          <w:szCs w:val="60"/>
        </w:rPr>
        <w:t>Información oportuna para la ciudadanía</w:t>
      </w:r>
      <w:r w:rsidR="00E7497B" w:rsidRPr="00126374">
        <w:rPr>
          <w:rFonts w:cstheme="minorHAnsi"/>
          <w:b/>
          <w:color w:val="262626" w:themeColor="text1" w:themeTint="D9"/>
          <w:sz w:val="60"/>
          <w:szCs w:val="60"/>
        </w:rPr>
        <w:t>.</w:t>
      </w:r>
    </w:p>
    <w:p w:rsidR="00E7497B" w:rsidRPr="00126374" w:rsidRDefault="00E7497B" w:rsidP="00E7497B">
      <w:pPr>
        <w:jc w:val="both"/>
        <w:rPr>
          <w:rFonts w:cstheme="minorHAnsi"/>
          <w:noProof/>
          <w:lang w:val="es-ES"/>
        </w:rPr>
      </w:pPr>
    </w:p>
    <w:p w:rsidR="001772A8" w:rsidRPr="001772A8" w:rsidRDefault="001772A8" w:rsidP="00E7497B">
      <w:pPr>
        <w:jc w:val="both"/>
        <w:rPr>
          <w:rFonts w:cstheme="minorHAnsi"/>
          <w:noProof/>
          <w:sz w:val="40"/>
          <w:szCs w:val="40"/>
          <w:lang w:val="es-ES"/>
        </w:rPr>
      </w:pPr>
      <w:r w:rsidRPr="001772A8">
        <w:rPr>
          <w:rFonts w:cstheme="minorHAnsi"/>
          <w:noProof/>
          <w:sz w:val="40"/>
          <w:szCs w:val="40"/>
          <w:lang w:val="es-ES"/>
        </w:rPr>
        <w:t xml:space="preserve">Durante el proceso electoral local </w:t>
      </w:r>
      <w:r>
        <w:rPr>
          <w:rFonts w:cstheme="minorHAnsi"/>
          <w:noProof/>
          <w:sz w:val="40"/>
          <w:szCs w:val="40"/>
          <w:lang w:val="es-ES"/>
        </w:rPr>
        <w:t>ordinario 2014-2015, la unidad de transparencia acercó</w:t>
      </w:r>
      <w:r w:rsidRPr="001772A8">
        <w:rPr>
          <w:rFonts w:cstheme="minorHAnsi"/>
          <w:noProof/>
          <w:sz w:val="40"/>
          <w:szCs w:val="40"/>
          <w:lang w:val="es-ES"/>
        </w:rPr>
        <w:t xml:space="preserve"> a la ciudadanía la información refere</w:t>
      </w:r>
      <w:r>
        <w:rPr>
          <w:rFonts w:cstheme="minorHAnsi"/>
          <w:noProof/>
          <w:sz w:val="40"/>
          <w:szCs w:val="40"/>
          <w:lang w:val="es-ES"/>
        </w:rPr>
        <w:t xml:space="preserve">nte a las actividades </w:t>
      </w:r>
      <w:r w:rsidRPr="001772A8">
        <w:rPr>
          <w:rFonts w:cstheme="minorHAnsi"/>
          <w:noProof/>
          <w:sz w:val="40"/>
          <w:szCs w:val="40"/>
          <w:lang w:val="es-ES"/>
        </w:rPr>
        <w:t>del Consejo General así como de sus órganos desconcentrados, los c</w:t>
      </w:r>
      <w:r>
        <w:rPr>
          <w:rFonts w:cstheme="minorHAnsi"/>
          <w:noProof/>
          <w:sz w:val="40"/>
          <w:szCs w:val="40"/>
          <w:lang w:val="es-ES"/>
        </w:rPr>
        <w:t>onsejos distritales y municipa</w:t>
      </w:r>
      <w:r w:rsidRPr="001772A8">
        <w:rPr>
          <w:rFonts w:cstheme="minorHAnsi"/>
          <w:noProof/>
          <w:sz w:val="40"/>
          <w:szCs w:val="40"/>
          <w:lang w:val="es-ES"/>
        </w:rPr>
        <w:t>les, apartados que brindaron información oportuna sobre los procesos llevados a cab</w:t>
      </w:r>
      <w:r>
        <w:rPr>
          <w:rFonts w:cstheme="minorHAnsi"/>
          <w:noProof/>
          <w:sz w:val="40"/>
          <w:szCs w:val="40"/>
          <w:lang w:val="es-ES"/>
        </w:rPr>
        <w:t>o en esta jornada electoral, la publicación reaizada de estos dos apartados resulto innovadora y clara, abonando a la nueva era de la transparencia y la rendición de cuentas.</w:t>
      </w:r>
    </w:p>
    <w:p w:rsidR="001772A8" w:rsidRPr="001772A8" w:rsidRDefault="001772A8" w:rsidP="00E7497B">
      <w:pPr>
        <w:jc w:val="both"/>
        <w:rPr>
          <w:rFonts w:cstheme="minorHAnsi"/>
          <w:noProof/>
          <w:sz w:val="40"/>
          <w:szCs w:val="40"/>
          <w:lang w:val="es-ES"/>
        </w:rPr>
      </w:pPr>
    </w:p>
    <w:p w:rsidR="001772A8" w:rsidRDefault="001772A8" w:rsidP="00E7497B">
      <w:pPr>
        <w:jc w:val="both"/>
        <w:rPr>
          <w:rFonts w:cstheme="minorHAnsi"/>
          <w:noProof/>
          <w:lang w:val="es-ES"/>
        </w:rPr>
      </w:pPr>
    </w:p>
    <w:p w:rsidR="001772A8" w:rsidRDefault="001772A8" w:rsidP="00E7497B">
      <w:pPr>
        <w:jc w:val="both"/>
        <w:rPr>
          <w:rFonts w:cstheme="minorHAnsi"/>
          <w:noProof/>
          <w:lang w:val="es-ES"/>
        </w:rPr>
      </w:pPr>
    </w:p>
    <w:p w:rsidR="001772A8" w:rsidRDefault="001772A8" w:rsidP="00E7497B">
      <w:pPr>
        <w:jc w:val="both"/>
        <w:rPr>
          <w:rFonts w:cstheme="minorHAnsi"/>
          <w:noProof/>
          <w:lang w:val="es-ES"/>
        </w:rPr>
      </w:pPr>
    </w:p>
    <w:p w:rsidR="001772A8" w:rsidRDefault="001772A8" w:rsidP="00E7497B">
      <w:pPr>
        <w:jc w:val="both"/>
        <w:rPr>
          <w:rFonts w:cstheme="minorHAnsi"/>
          <w:noProof/>
          <w:lang w:val="es-ES"/>
        </w:rPr>
      </w:pPr>
    </w:p>
    <w:p w:rsidR="001772A8" w:rsidRPr="001772A8" w:rsidRDefault="001772A8" w:rsidP="00E7497B">
      <w:pPr>
        <w:jc w:val="both"/>
        <w:rPr>
          <w:rFonts w:cstheme="minorHAnsi"/>
          <w:b/>
          <w:noProof/>
          <w:color w:val="000000" w:themeColor="text1"/>
          <w:sz w:val="40"/>
          <w:szCs w:val="40"/>
          <w:lang w:val="es-ES"/>
        </w:rPr>
      </w:pPr>
      <w:r w:rsidRPr="001772A8">
        <w:rPr>
          <w:rFonts w:cstheme="minorHAnsi"/>
          <w:b/>
          <w:noProof/>
          <w:color w:val="000000" w:themeColor="text1"/>
          <w:sz w:val="40"/>
          <w:szCs w:val="40"/>
          <w:lang w:val="es-ES"/>
        </w:rPr>
        <w:t>Publicaci</w:t>
      </w:r>
      <w:r w:rsidR="00CF5F10">
        <w:rPr>
          <w:rFonts w:cstheme="minorHAnsi"/>
          <w:b/>
          <w:noProof/>
          <w:color w:val="000000" w:themeColor="text1"/>
          <w:sz w:val="40"/>
          <w:szCs w:val="40"/>
          <w:lang w:val="es-ES"/>
        </w:rPr>
        <w:t xml:space="preserve">ón general de </w:t>
      </w:r>
      <w:r w:rsidR="00E7497B" w:rsidRPr="001772A8">
        <w:rPr>
          <w:rFonts w:cstheme="minorHAnsi"/>
          <w:b/>
          <w:noProof/>
          <w:color w:val="000000" w:themeColor="text1"/>
          <w:sz w:val="40"/>
          <w:szCs w:val="40"/>
          <w:lang w:val="es-ES"/>
        </w:rPr>
        <w:t>los 20 Consejos Distritales y los 125 Consejos Municipales Electorales</w:t>
      </w:r>
      <w:r w:rsidR="00CF5F10">
        <w:rPr>
          <w:rFonts w:cstheme="minorHAnsi"/>
          <w:b/>
          <w:noProof/>
          <w:color w:val="000000" w:themeColor="text1"/>
          <w:sz w:val="40"/>
          <w:szCs w:val="40"/>
          <w:lang w:val="es-ES"/>
        </w:rPr>
        <w:t>.</w:t>
      </w:r>
      <w:r w:rsidR="00E7497B" w:rsidRPr="001772A8">
        <w:rPr>
          <w:rFonts w:cstheme="minorHAnsi"/>
          <w:b/>
          <w:noProof/>
          <w:color w:val="000000" w:themeColor="text1"/>
          <w:sz w:val="40"/>
          <w:szCs w:val="40"/>
          <w:lang w:val="es-ES"/>
        </w:rPr>
        <w:t xml:space="preserve"> </w:t>
      </w:r>
    </w:p>
    <w:p w:rsidR="00E7497B" w:rsidRPr="00126374" w:rsidRDefault="00E7497B" w:rsidP="00E7497B">
      <w:pPr>
        <w:jc w:val="both"/>
        <w:rPr>
          <w:rFonts w:cstheme="minorHAnsi"/>
          <w:noProof/>
          <w:lang w:val="es-ES"/>
        </w:rPr>
      </w:pPr>
      <w:r w:rsidRPr="001772A8">
        <w:rPr>
          <w:rFonts w:cstheme="minorHAnsi"/>
          <w:noProof/>
          <w:sz w:val="30"/>
          <w:szCs w:val="30"/>
          <w:lang w:val="es-ES"/>
        </w:rPr>
        <w:t>En dicho apartado los ciudadanos pudieron conocer, como se integraron los consejos, su domicilio, telefóno, y/o medios de contacto,  así como las actas y acuerdos llevadas a cabo durante el periodo electoral.</w:t>
      </w:r>
    </w:p>
    <w:p w:rsidR="000F71C4" w:rsidRPr="00126374" w:rsidRDefault="00E7497B" w:rsidP="007B63DB">
      <w:pPr>
        <w:jc w:val="center"/>
        <w:rPr>
          <w:rFonts w:cstheme="minorHAnsi"/>
          <w:lang w:val="es-ES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3455409" cy="1942601"/>
            <wp:effectExtent l="0" t="0" r="0" b="63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6013" cy="1948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1C4" w:rsidRPr="00126374" w:rsidRDefault="00E7497B" w:rsidP="007B63DB">
      <w:pPr>
        <w:jc w:val="center"/>
        <w:rPr>
          <w:rFonts w:cstheme="minorHAnsi"/>
        </w:rPr>
      </w:pPr>
      <w:r w:rsidRPr="00126374">
        <w:rPr>
          <w:rFonts w:cstheme="minorHAnsi"/>
          <w:noProof/>
          <w:color w:val="FFFFFF"/>
          <w:lang w:val="es-ES"/>
        </w:rPr>
        <w:t>Durante el proceso electoral local ordinario 2014-2015, el instituto electoral y de participación ciudadana del estado de jalisco, puso a disposición de los ciudadanos la infoación elevante en torno al periodo electoral</w:t>
      </w:r>
    </w:p>
    <w:p w:rsidR="00E7497B" w:rsidRPr="00126374" w:rsidRDefault="00E7497B" w:rsidP="00E7497B">
      <w:pPr>
        <w:rPr>
          <w:rFonts w:cstheme="minorHAnsi"/>
          <w:noProof/>
          <w:lang w:val="es-ES"/>
        </w:rPr>
      </w:pPr>
      <w:r w:rsidRPr="00126374">
        <w:rPr>
          <w:rFonts w:cstheme="minorHAnsi"/>
          <w:noProof/>
          <w:color w:val="FFFFFF"/>
          <w:lang w:val="es-ES"/>
        </w:rPr>
        <w:t>Durante el proceso electoral local ordinario 2014-2015, el instituto electoral y de participación ciudadana del estado de jalisco, puso a disposición de los ciudadanos la información r</w:t>
      </w:r>
      <w:r w:rsidRPr="00126374">
        <w:rPr>
          <w:rFonts w:cstheme="minorHAnsi"/>
          <w:noProof/>
          <w:lang w:val="es-ES"/>
        </w:rPr>
        <w:t xml:space="preserve"> Impresión de pantalla del apartado “Actas y acuerdos de los consejos distritales”</w:t>
      </w:r>
    </w:p>
    <w:p w:rsidR="00E7497B" w:rsidRPr="00126374" w:rsidRDefault="0000720B" w:rsidP="00E7497B">
      <w:pPr>
        <w:jc w:val="center"/>
        <w:rPr>
          <w:rFonts w:cstheme="minorHAnsi"/>
          <w:noProof/>
          <w:lang w:val="es-ES"/>
        </w:rPr>
      </w:pPr>
      <w:hyperlink r:id="rId24" w:history="1">
        <w:r w:rsidR="00E7497B" w:rsidRPr="00126374">
          <w:rPr>
            <w:rStyle w:val="Hipervnculo"/>
            <w:rFonts w:cstheme="minorHAnsi"/>
            <w:noProof/>
            <w:lang w:val="es-ES"/>
          </w:rPr>
          <w:t>http://www.iepcjalisco.org.mx/sesiones-de-consejo/distritales</w:t>
        </w:r>
      </w:hyperlink>
      <w:r w:rsidR="00E7497B" w:rsidRPr="00126374">
        <w:rPr>
          <w:rFonts w:cstheme="minorHAnsi"/>
          <w:noProof/>
          <w:lang w:val="es-ES"/>
        </w:rPr>
        <w:t xml:space="preserve">   </w:t>
      </w:r>
    </w:p>
    <w:p w:rsidR="000F71C4" w:rsidRPr="00126374" w:rsidRDefault="00E7497B" w:rsidP="007B63DB">
      <w:pPr>
        <w:jc w:val="center"/>
        <w:rPr>
          <w:rFonts w:cstheme="minorHAnsi"/>
        </w:rPr>
      </w:pPr>
      <w:r w:rsidRPr="00126374">
        <w:rPr>
          <w:rFonts w:cstheme="minorHAnsi"/>
          <w:noProof/>
          <w:color w:val="FFFFFF"/>
          <w:lang w:val="es-ES"/>
        </w:rPr>
        <w:t>elevante en torno al periodo electorl</w:t>
      </w:r>
    </w:p>
    <w:p w:rsidR="000F71C4" w:rsidRPr="00126374" w:rsidRDefault="00E7497B" w:rsidP="007B63DB">
      <w:pPr>
        <w:jc w:val="center"/>
        <w:rPr>
          <w:rFonts w:cstheme="minorHAnsi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7498763" cy="4215740"/>
            <wp:effectExtent l="0" t="0" r="698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0376" cy="421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97B" w:rsidRPr="00126374" w:rsidRDefault="00E7497B" w:rsidP="007B63DB">
      <w:pPr>
        <w:jc w:val="center"/>
        <w:rPr>
          <w:rFonts w:cstheme="minorHAnsi"/>
        </w:rPr>
      </w:pPr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  <w:r w:rsidRPr="00126374">
        <w:rPr>
          <w:rFonts w:cstheme="minorHAnsi"/>
          <w:noProof/>
          <w:lang w:val="es-ES"/>
        </w:rPr>
        <w:t>Impresión de pantalla del apartado “Actas y acuerdos de los consejos distritales” “Distrito 1”</w:t>
      </w:r>
    </w:p>
    <w:p w:rsidR="00E7497B" w:rsidRPr="00126374" w:rsidRDefault="0000720B" w:rsidP="00E7497B">
      <w:pPr>
        <w:jc w:val="center"/>
        <w:rPr>
          <w:rFonts w:cstheme="minorHAnsi"/>
          <w:noProof/>
          <w:lang w:val="es-ES"/>
        </w:rPr>
      </w:pPr>
      <w:hyperlink r:id="rId26" w:history="1">
        <w:r w:rsidR="00E7497B" w:rsidRPr="00126374">
          <w:rPr>
            <w:rStyle w:val="Hipervnculo"/>
            <w:rFonts w:cstheme="minorHAnsi"/>
            <w:noProof/>
            <w:lang w:val="es-ES"/>
          </w:rPr>
          <w:t>http://www.iepcjalisco.org.mx/sesiones-de-consejo/distritales</w:t>
        </w:r>
      </w:hyperlink>
    </w:p>
    <w:p w:rsidR="00E7497B" w:rsidRPr="00126374" w:rsidRDefault="00E7497B" w:rsidP="007B63DB">
      <w:pPr>
        <w:jc w:val="center"/>
        <w:rPr>
          <w:rFonts w:cstheme="minorHAnsi"/>
          <w:lang w:val="es-ES"/>
        </w:rPr>
      </w:pPr>
    </w:p>
    <w:p w:rsidR="000F71C4" w:rsidRPr="00126374" w:rsidRDefault="00E7497B" w:rsidP="007B63DB">
      <w:pPr>
        <w:jc w:val="center"/>
        <w:rPr>
          <w:rFonts w:cstheme="minorHAnsi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6653832" cy="3740727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6002" cy="374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97B" w:rsidRPr="00126374" w:rsidRDefault="00E7497B" w:rsidP="007B63DB">
      <w:pPr>
        <w:jc w:val="center"/>
        <w:rPr>
          <w:rFonts w:cstheme="minorHAnsi"/>
        </w:rPr>
      </w:pPr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  <w:r w:rsidRPr="00126374">
        <w:rPr>
          <w:rFonts w:cstheme="minorHAnsi"/>
          <w:noProof/>
          <w:lang w:val="es-ES"/>
        </w:rPr>
        <w:t>Impresión de pantalla del apartado “Consejos municipales”</w:t>
      </w:r>
    </w:p>
    <w:p w:rsidR="00E7497B" w:rsidRPr="00126374" w:rsidRDefault="0000720B" w:rsidP="00E7497B">
      <w:pPr>
        <w:jc w:val="center"/>
        <w:rPr>
          <w:rFonts w:cstheme="minorHAnsi"/>
          <w:noProof/>
          <w:lang w:val="es-ES"/>
        </w:rPr>
      </w:pPr>
      <w:hyperlink r:id="rId28" w:history="1">
        <w:r w:rsidR="00E7497B" w:rsidRPr="00126374">
          <w:rPr>
            <w:rStyle w:val="Hipervnculo"/>
            <w:rFonts w:cstheme="minorHAnsi"/>
            <w:noProof/>
            <w:lang w:val="es-ES"/>
          </w:rPr>
          <w:t>http://www.iepcjalisco.org.mx/consejos-municipales/proceso-electoral-local-ordinario-2014-2015</w:t>
        </w:r>
      </w:hyperlink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  <w:r w:rsidRPr="00126374">
        <w:rPr>
          <w:rFonts w:cstheme="minorHAnsi"/>
          <w:noProof/>
          <w:lang w:eastAsia="es-MX"/>
        </w:rPr>
        <w:drawing>
          <wp:inline distT="0" distB="0" distL="0" distR="0">
            <wp:extent cx="6139543" cy="345160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4612" cy="3471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</w:p>
    <w:p w:rsidR="00E7497B" w:rsidRPr="00126374" w:rsidRDefault="00E7497B" w:rsidP="00E7497B">
      <w:pPr>
        <w:jc w:val="center"/>
        <w:rPr>
          <w:rFonts w:cstheme="minorHAnsi"/>
          <w:noProof/>
          <w:lang w:val="es-ES"/>
        </w:rPr>
      </w:pPr>
      <w:r w:rsidRPr="00126374">
        <w:rPr>
          <w:rFonts w:cstheme="minorHAnsi"/>
          <w:noProof/>
          <w:lang w:val="es-ES"/>
        </w:rPr>
        <w:t>Impresión de pantalla del apartado “Consejos municipales” “Consejo municipal de Cabo Corrientes”</w:t>
      </w:r>
    </w:p>
    <w:p w:rsidR="00E7497B" w:rsidRDefault="0000720B" w:rsidP="00E7497B">
      <w:pPr>
        <w:jc w:val="center"/>
      </w:pPr>
      <w:hyperlink r:id="rId30" w:history="1">
        <w:r w:rsidR="00E7497B" w:rsidRPr="00126374">
          <w:rPr>
            <w:rStyle w:val="Hipervnculo"/>
            <w:rFonts w:cstheme="minorHAnsi"/>
            <w:noProof/>
            <w:lang w:val="es-ES"/>
          </w:rPr>
          <w:t>http://www.iepcjalisco.org.mx/consejos-municipales/proceso-electoral-local-ordinario-2014-2015/cabo-corrientes</w:t>
        </w:r>
      </w:hyperlink>
    </w:p>
    <w:p w:rsidR="00053FBD" w:rsidRPr="00126374" w:rsidRDefault="00053FBD" w:rsidP="00053FBD">
      <w:pPr>
        <w:rPr>
          <w:rFonts w:cstheme="minorHAnsi"/>
          <w:noProof/>
          <w:lang w:val="es-ES"/>
        </w:rPr>
      </w:pPr>
      <w:r>
        <w:rPr>
          <w:rFonts w:cstheme="minorHAnsi"/>
          <w:noProof/>
          <w:lang w:eastAsia="es-MX"/>
        </w:rPr>
        <w:lastRenderedPageBreak/>
        <w:drawing>
          <wp:inline distT="0" distB="0" distL="0" distR="0">
            <wp:extent cx="8258810" cy="5429250"/>
            <wp:effectExtent l="19050" t="0" r="8890" b="0"/>
            <wp:docPr id="9" name="8 Imagen" descr="Transpare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parencia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FBD" w:rsidRPr="00126374" w:rsidSect="00053FB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4AE" w:rsidRDefault="001614AE" w:rsidP="001F376D">
      <w:pPr>
        <w:spacing w:after="0" w:line="240" w:lineRule="auto"/>
      </w:pPr>
      <w:r>
        <w:separator/>
      </w:r>
    </w:p>
  </w:endnote>
  <w:endnote w:type="continuationSeparator" w:id="0">
    <w:p w:rsidR="001614AE" w:rsidRDefault="001614AE" w:rsidP="001F3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FBD" w:rsidRDefault="00053FBD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94226"/>
      <w:docPartObj>
        <w:docPartGallery w:val="Page Numbers (Bottom of Page)"/>
        <w:docPartUnique/>
      </w:docPartObj>
    </w:sdtPr>
    <w:sdtContent>
      <w:p w:rsidR="00053FBD" w:rsidRDefault="0000720B">
        <w:pPr>
          <w:pStyle w:val="Piedepgina"/>
          <w:jc w:val="center"/>
        </w:pPr>
        <w:r w:rsidRPr="0000720B">
          <w:fldChar w:fldCharType="begin"/>
        </w:r>
        <w:r w:rsidR="00053FBD">
          <w:instrText>PAGE   \* MERGEFORMAT</w:instrText>
        </w:r>
        <w:r w:rsidRPr="0000720B">
          <w:fldChar w:fldCharType="separate"/>
        </w:r>
        <w:r w:rsidR="00C91FEC" w:rsidRPr="00C91FEC">
          <w:rPr>
            <w:noProof/>
            <w:lang w:val="es-ES"/>
          </w:rPr>
          <w:t>45</w:t>
        </w:r>
        <w:r>
          <w:rPr>
            <w:noProof/>
            <w:lang w:val="es-ES"/>
          </w:rPr>
          <w:fldChar w:fldCharType="end"/>
        </w:r>
      </w:p>
    </w:sdtContent>
  </w:sdt>
  <w:p w:rsidR="00053FBD" w:rsidRDefault="00053FBD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FBD" w:rsidRDefault="00053FB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4AE" w:rsidRDefault="001614AE" w:rsidP="001F376D">
      <w:pPr>
        <w:spacing w:after="0" w:line="240" w:lineRule="auto"/>
      </w:pPr>
      <w:r>
        <w:separator/>
      </w:r>
    </w:p>
  </w:footnote>
  <w:footnote w:type="continuationSeparator" w:id="0">
    <w:p w:rsidR="001614AE" w:rsidRDefault="001614AE" w:rsidP="001F376D">
      <w:pPr>
        <w:spacing w:after="0" w:line="240" w:lineRule="auto"/>
      </w:pPr>
      <w:r>
        <w:continuationSeparator/>
      </w:r>
    </w:p>
  </w:footnote>
  <w:footnote w:id="1">
    <w:p w:rsidR="00053FBD" w:rsidRDefault="00053FBD">
      <w:pPr>
        <w:pStyle w:val="Textonotapie"/>
      </w:pPr>
      <w:r>
        <w:rPr>
          <w:rStyle w:val="Refdenotaalpie"/>
        </w:rPr>
        <w:footnoteRef/>
      </w:r>
      <w:r>
        <w:t xml:space="preserve"> Véanse Artículos 91, 92 y 93 de la Ley de Transparencia y Acceso a la Información Pública del Estado de Jalisco y sus Municipios.</w:t>
      </w:r>
    </w:p>
  </w:footnote>
  <w:footnote w:id="2">
    <w:p w:rsidR="00053FBD" w:rsidRDefault="00053FBD">
      <w:pPr>
        <w:pStyle w:val="Textonotapie"/>
      </w:pPr>
      <w:r>
        <w:rPr>
          <w:rStyle w:val="Refdenotaalpie"/>
        </w:rPr>
        <w:footnoteRef/>
      </w:r>
      <w:r>
        <w:t xml:space="preserve"> En la primera parte del presente informe se muestra que el número total de solicitudes presentadas correspondió a 675, se hace la aclaración que las dos solicitudes que no se contabilizan en la gráfica corresponden a solicitudes de protección de datos personales.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FBD" w:rsidRDefault="0000720B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0966" o:spid="_x0000_s2065" type="#_x0000_t75" style="position:absolute;margin-left:0;margin-top:0;width:765.1pt;height:609.6pt;z-index:-251657216;mso-position-horizontal:center;mso-position-horizontal-relative:margin;mso-position-vertical:center;mso-position-vertical-relative:margin" o:allowincell="f">
          <v:imagedata r:id="rId1" o:title="pagina de informe buen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FBD" w:rsidRDefault="0000720B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0967" o:spid="_x0000_s2066" type="#_x0000_t75" style="position:absolute;margin-left:0;margin-top:0;width:765.1pt;height:609.6pt;z-index:-251656192;mso-position-horizontal:center;mso-position-horizontal-relative:margin;mso-position-vertical:center;mso-position-vertical-relative:margin" o:allowincell="f">
          <v:imagedata r:id="rId1" o:title="pagina de informe bueno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FBD" w:rsidRDefault="0000720B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0965" o:spid="_x0000_s2064" type="#_x0000_t75" style="position:absolute;margin-left:0;margin-top:0;width:765.1pt;height:609.6pt;z-index:-251658240;mso-position-horizontal:center;mso-position-horizontal-relative:margin;mso-position-vertical:center;mso-position-vertical-relative:margin" o:allowincell="f">
          <v:imagedata r:id="rId1" o:title="pagina de informe bueno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B42"/>
    <w:multiLevelType w:val="hybridMultilevel"/>
    <w:tmpl w:val="EAB4C4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C564A"/>
    <w:multiLevelType w:val="hybridMultilevel"/>
    <w:tmpl w:val="79369C4E"/>
    <w:lvl w:ilvl="0" w:tplc="68784F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A7219"/>
    <w:rsid w:val="000010F7"/>
    <w:rsid w:val="00004B4D"/>
    <w:rsid w:val="0000720B"/>
    <w:rsid w:val="000372D3"/>
    <w:rsid w:val="000469FC"/>
    <w:rsid w:val="00053FBD"/>
    <w:rsid w:val="00055D3A"/>
    <w:rsid w:val="000856B7"/>
    <w:rsid w:val="0008602E"/>
    <w:rsid w:val="000F71C4"/>
    <w:rsid w:val="0010663D"/>
    <w:rsid w:val="0011519B"/>
    <w:rsid w:val="00126374"/>
    <w:rsid w:val="001437E8"/>
    <w:rsid w:val="00156851"/>
    <w:rsid w:val="001614AE"/>
    <w:rsid w:val="001772A8"/>
    <w:rsid w:val="00184F46"/>
    <w:rsid w:val="0019559D"/>
    <w:rsid w:val="001B11E7"/>
    <w:rsid w:val="001B33C5"/>
    <w:rsid w:val="001B43A3"/>
    <w:rsid w:val="001E4FCC"/>
    <w:rsid w:val="001F376D"/>
    <w:rsid w:val="0026427B"/>
    <w:rsid w:val="00272157"/>
    <w:rsid w:val="00302252"/>
    <w:rsid w:val="00361FB5"/>
    <w:rsid w:val="00382EF5"/>
    <w:rsid w:val="003A09A7"/>
    <w:rsid w:val="003A3271"/>
    <w:rsid w:val="003A7219"/>
    <w:rsid w:val="003B1820"/>
    <w:rsid w:val="00412FE7"/>
    <w:rsid w:val="004136F5"/>
    <w:rsid w:val="00414272"/>
    <w:rsid w:val="004239DD"/>
    <w:rsid w:val="00434C2E"/>
    <w:rsid w:val="00455469"/>
    <w:rsid w:val="00455F87"/>
    <w:rsid w:val="004C53F0"/>
    <w:rsid w:val="004D7579"/>
    <w:rsid w:val="005720E3"/>
    <w:rsid w:val="005B7953"/>
    <w:rsid w:val="005F434B"/>
    <w:rsid w:val="00604839"/>
    <w:rsid w:val="00614212"/>
    <w:rsid w:val="006559E8"/>
    <w:rsid w:val="00690A82"/>
    <w:rsid w:val="006B5B46"/>
    <w:rsid w:val="0072463D"/>
    <w:rsid w:val="00724D5B"/>
    <w:rsid w:val="00754714"/>
    <w:rsid w:val="00755D16"/>
    <w:rsid w:val="007B63DB"/>
    <w:rsid w:val="00860AF6"/>
    <w:rsid w:val="00875EE3"/>
    <w:rsid w:val="00885BF7"/>
    <w:rsid w:val="00893829"/>
    <w:rsid w:val="008F1650"/>
    <w:rsid w:val="008F1720"/>
    <w:rsid w:val="008F65DC"/>
    <w:rsid w:val="00922B22"/>
    <w:rsid w:val="00942545"/>
    <w:rsid w:val="00956CDE"/>
    <w:rsid w:val="00964BAD"/>
    <w:rsid w:val="00976FC6"/>
    <w:rsid w:val="0098534D"/>
    <w:rsid w:val="009C1FAD"/>
    <w:rsid w:val="009D2AFA"/>
    <w:rsid w:val="00A8167D"/>
    <w:rsid w:val="00A96BD3"/>
    <w:rsid w:val="00AC2A4D"/>
    <w:rsid w:val="00AE36A7"/>
    <w:rsid w:val="00B04D33"/>
    <w:rsid w:val="00B2304B"/>
    <w:rsid w:val="00B230B6"/>
    <w:rsid w:val="00B40D28"/>
    <w:rsid w:val="00B51C7E"/>
    <w:rsid w:val="00B64FD4"/>
    <w:rsid w:val="00B748A8"/>
    <w:rsid w:val="00BC0776"/>
    <w:rsid w:val="00C10B20"/>
    <w:rsid w:val="00C35286"/>
    <w:rsid w:val="00C8757C"/>
    <w:rsid w:val="00C87883"/>
    <w:rsid w:val="00C91FEC"/>
    <w:rsid w:val="00CA7E17"/>
    <w:rsid w:val="00CF5F10"/>
    <w:rsid w:val="00D40E40"/>
    <w:rsid w:val="00D626B7"/>
    <w:rsid w:val="00D77B4D"/>
    <w:rsid w:val="00D8742E"/>
    <w:rsid w:val="00D90A50"/>
    <w:rsid w:val="00DA7245"/>
    <w:rsid w:val="00DD75DC"/>
    <w:rsid w:val="00E43B29"/>
    <w:rsid w:val="00E518E6"/>
    <w:rsid w:val="00E51A28"/>
    <w:rsid w:val="00E733A4"/>
    <w:rsid w:val="00E7497B"/>
    <w:rsid w:val="00E849AF"/>
    <w:rsid w:val="00E94797"/>
    <w:rsid w:val="00EB5B10"/>
    <w:rsid w:val="00EB7D8D"/>
    <w:rsid w:val="00F07D76"/>
    <w:rsid w:val="00F44FDA"/>
    <w:rsid w:val="00FB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D28"/>
  </w:style>
  <w:style w:type="paragraph" w:styleId="Ttulo1">
    <w:name w:val="heading 1"/>
    <w:basedOn w:val="Normal"/>
    <w:next w:val="Normal"/>
    <w:link w:val="Ttulo1Car"/>
    <w:uiPriority w:val="9"/>
    <w:qFormat/>
    <w:rsid w:val="001B43A3"/>
    <w:pPr>
      <w:pBdr>
        <w:top w:val="single" w:sz="24" w:space="0" w:color="1F497D" w:themeColor="text2"/>
        <w:left w:val="single" w:sz="24" w:space="0" w:color="1F497D" w:themeColor="text2"/>
        <w:bottom w:val="single" w:sz="24" w:space="0" w:color="1F497D" w:themeColor="text2"/>
        <w:right w:val="single" w:sz="24" w:space="0" w:color="1F497D" w:themeColor="text2"/>
      </w:pBdr>
      <w:shd w:val="clear" w:color="auto" w:fill="1F497D" w:themeFill="text2"/>
      <w:spacing w:before="120" w:after="0" w:line="264" w:lineRule="auto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A7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21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F3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376D"/>
  </w:style>
  <w:style w:type="paragraph" w:styleId="Piedepgina">
    <w:name w:val="footer"/>
    <w:basedOn w:val="Normal"/>
    <w:link w:val="PiedepginaCar"/>
    <w:uiPriority w:val="99"/>
    <w:unhideWhenUsed/>
    <w:rsid w:val="001F3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76D"/>
  </w:style>
  <w:style w:type="paragraph" w:styleId="Sinespaciado">
    <w:name w:val="No Spacing"/>
    <w:link w:val="SinespaciadoCar"/>
    <w:uiPriority w:val="1"/>
    <w:qFormat/>
    <w:rsid w:val="0019559D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9559D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8F1720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04D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04D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04D33"/>
    <w:rPr>
      <w:vertAlign w:val="superscript"/>
    </w:rPr>
  </w:style>
  <w:style w:type="paragraph" w:styleId="Ttulo">
    <w:name w:val="Title"/>
    <w:basedOn w:val="Normal"/>
    <w:next w:val="Normal"/>
    <w:link w:val="TtuloCar"/>
    <w:uiPriority w:val="10"/>
    <w:qFormat/>
    <w:rsid w:val="001B43A3"/>
    <w:pPr>
      <w:spacing w:after="0" w:line="264" w:lineRule="auto"/>
    </w:pPr>
    <w:rPr>
      <w:rFonts w:asciiTheme="majorHAnsi" w:eastAsiaTheme="majorEastAsia" w:hAnsiTheme="majorHAnsi" w:cstheme="majorBidi"/>
      <w:caps/>
      <w:color w:val="1F497D" w:themeColor="text2"/>
      <w:spacing w:val="10"/>
      <w:sz w:val="52"/>
      <w:szCs w:val="52"/>
      <w:lang w:val="en-US" w:eastAsia="ja-JP"/>
    </w:rPr>
  </w:style>
  <w:style w:type="character" w:customStyle="1" w:styleId="TtuloCar">
    <w:name w:val="Título Car"/>
    <w:basedOn w:val="Fuentedeprrafopredeter"/>
    <w:link w:val="Ttulo"/>
    <w:uiPriority w:val="10"/>
    <w:rsid w:val="001B43A3"/>
    <w:rPr>
      <w:rFonts w:asciiTheme="majorHAnsi" w:eastAsiaTheme="majorEastAsia" w:hAnsiTheme="majorHAnsi" w:cstheme="majorBidi"/>
      <w:caps/>
      <w:color w:val="1F497D" w:themeColor="text2"/>
      <w:spacing w:val="10"/>
      <w:sz w:val="52"/>
      <w:szCs w:val="52"/>
      <w:lang w:val="en-US" w:eastAsia="ja-JP"/>
    </w:rPr>
  </w:style>
  <w:style w:type="character" w:customStyle="1" w:styleId="Ttulo1Car">
    <w:name w:val="Título 1 Car"/>
    <w:basedOn w:val="Fuentedeprrafopredeter"/>
    <w:link w:val="Ttulo1"/>
    <w:uiPriority w:val="9"/>
    <w:rsid w:val="001B43A3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1F497D" w:themeFill="text2"/>
      <w:lang w:val="en-US" w:eastAsia="ja-JP"/>
    </w:rPr>
  </w:style>
  <w:style w:type="character" w:styleId="Hipervnculo">
    <w:name w:val="Hyperlink"/>
    <w:basedOn w:val="Fuentedeprrafopredeter"/>
    <w:uiPriority w:val="99"/>
    <w:unhideWhenUsed/>
    <w:rsid w:val="00B64FD4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93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B43A3"/>
    <w:pPr>
      <w:pBdr>
        <w:top w:val="single" w:sz="24" w:space="0" w:color="1F497D" w:themeColor="text2"/>
        <w:left w:val="single" w:sz="24" w:space="0" w:color="1F497D" w:themeColor="text2"/>
        <w:bottom w:val="single" w:sz="24" w:space="0" w:color="1F497D" w:themeColor="text2"/>
        <w:right w:val="single" w:sz="24" w:space="0" w:color="1F497D" w:themeColor="text2"/>
      </w:pBdr>
      <w:shd w:val="clear" w:color="auto" w:fill="1F497D" w:themeFill="text2"/>
      <w:spacing w:before="120" w:after="0" w:line="264" w:lineRule="auto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A7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21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F3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376D"/>
  </w:style>
  <w:style w:type="paragraph" w:styleId="Piedepgina">
    <w:name w:val="footer"/>
    <w:basedOn w:val="Normal"/>
    <w:link w:val="PiedepginaCar"/>
    <w:uiPriority w:val="99"/>
    <w:unhideWhenUsed/>
    <w:rsid w:val="001F3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76D"/>
  </w:style>
  <w:style w:type="paragraph" w:styleId="Sinespaciado">
    <w:name w:val="No Spacing"/>
    <w:link w:val="SinespaciadoCar"/>
    <w:uiPriority w:val="1"/>
    <w:qFormat/>
    <w:rsid w:val="0019559D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9559D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8F1720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04D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04D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04D33"/>
    <w:rPr>
      <w:vertAlign w:val="superscript"/>
    </w:rPr>
  </w:style>
  <w:style w:type="paragraph" w:styleId="Ttulo">
    <w:name w:val="Title"/>
    <w:basedOn w:val="Normal"/>
    <w:next w:val="Normal"/>
    <w:link w:val="TtuloCar"/>
    <w:uiPriority w:val="10"/>
    <w:qFormat/>
    <w:rsid w:val="001B43A3"/>
    <w:pPr>
      <w:spacing w:after="0" w:line="264" w:lineRule="auto"/>
    </w:pPr>
    <w:rPr>
      <w:rFonts w:asciiTheme="majorHAnsi" w:eastAsiaTheme="majorEastAsia" w:hAnsiTheme="majorHAnsi" w:cstheme="majorBidi"/>
      <w:caps/>
      <w:color w:val="1F497D" w:themeColor="text2"/>
      <w:spacing w:val="10"/>
      <w:sz w:val="52"/>
      <w:szCs w:val="52"/>
      <w:lang w:val="en-US" w:eastAsia="ja-JP"/>
    </w:rPr>
  </w:style>
  <w:style w:type="character" w:customStyle="1" w:styleId="TtuloCar">
    <w:name w:val="Título Car"/>
    <w:basedOn w:val="Fuentedeprrafopredeter"/>
    <w:link w:val="Ttulo"/>
    <w:uiPriority w:val="10"/>
    <w:rsid w:val="001B43A3"/>
    <w:rPr>
      <w:rFonts w:asciiTheme="majorHAnsi" w:eastAsiaTheme="majorEastAsia" w:hAnsiTheme="majorHAnsi" w:cstheme="majorBidi"/>
      <w:caps/>
      <w:color w:val="1F497D" w:themeColor="text2"/>
      <w:spacing w:val="10"/>
      <w:sz w:val="52"/>
      <w:szCs w:val="52"/>
      <w:lang w:val="en-US" w:eastAsia="ja-JP"/>
    </w:rPr>
  </w:style>
  <w:style w:type="character" w:customStyle="1" w:styleId="Ttulo1Car">
    <w:name w:val="Título 1 Car"/>
    <w:basedOn w:val="Fuentedeprrafopredeter"/>
    <w:link w:val="Ttulo1"/>
    <w:uiPriority w:val="9"/>
    <w:rsid w:val="001B43A3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1F497D" w:themeFill="text2"/>
      <w:lang w:val="en-US" w:eastAsia="ja-JP"/>
    </w:rPr>
  </w:style>
  <w:style w:type="character" w:styleId="Hipervnculo">
    <w:name w:val="Hyperlink"/>
    <w:basedOn w:val="Fuentedeprrafopredeter"/>
    <w:uiPriority w:val="99"/>
    <w:unhideWhenUsed/>
    <w:rsid w:val="00B64FD4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93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9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7.xml"/><Relationship Id="rId26" Type="http://schemas.openxmlformats.org/officeDocument/2006/relationships/hyperlink" Target="http://www.iepcjalisco.org.mx/sesiones-de-consejo/distritales" TargetMode="External"/><Relationship Id="rId39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chart" Target="charts/chart10.xml"/><Relationship Id="rId34" Type="http://schemas.openxmlformats.org/officeDocument/2006/relationships/footer" Target="footer1.xml"/><Relationship Id="rId42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6.xml"/><Relationship Id="rId25" Type="http://schemas.openxmlformats.org/officeDocument/2006/relationships/image" Target="media/image3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epcjalisco.org.mx" TargetMode="External"/><Relationship Id="rId20" Type="http://schemas.openxmlformats.org/officeDocument/2006/relationships/chart" Target="charts/chart9.xml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hyperlink" Target="http://www.iepcjalisco.org.mx/sesiones-de-consejo/distritales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epcjalisco.org.mx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://www.iepcjalisco.org.mx/consejos-municipales/proceso-electoral-local-ordinario-2014-2015" TargetMode="External"/><Relationship Id="rId36" Type="http://schemas.openxmlformats.org/officeDocument/2006/relationships/header" Target="header3.xml"/><Relationship Id="rId10" Type="http://schemas.openxmlformats.org/officeDocument/2006/relationships/chart" Target="charts/chart1.xml"/><Relationship Id="rId19" Type="http://schemas.openxmlformats.org/officeDocument/2006/relationships/chart" Target="charts/chart8.xml"/><Relationship Id="rId31" Type="http://schemas.openxmlformats.org/officeDocument/2006/relationships/image" Target="media/image6.jpe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chart" Target="charts/chart5.xml"/><Relationship Id="rId22" Type="http://schemas.openxmlformats.org/officeDocument/2006/relationships/chart" Target="charts/chart11.xml"/><Relationship Id="rId27" Type="http://schemas.openxmlformats.org/officeDocument/2006/relationships/image" Target="media/image4.png"/><Relationship Id="rId30" Type="http://schemas.openxmlformats.org/officeDocument/2006/relationships/hyperlink" Target="http://www.iepcjalisco.org.mx/consejos-municipales/proceso-electoral-local-ordinario-2014-2015/cabo-corrientes" TargetMode="External"/><Relationship Id="rId35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timia.gonzalez\Desktop\ESTADISTICAS%20CANDIDATOS%20PROCESO%20ELECTORAL%202014-2015\ESTADISTICAS%20GENERAL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timia.gonzalez\Desktop\ESTADISTICAS%20GRAL%20OCUPACIONE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bocanegra\Documents\graficas%20p%20informe%20anual%20201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utimia.gonzalez\Desktop\ESTADISTICAS%20CANDIDATOS%20PROCESO%20ELECTORAL%202014-2015\Curriculum%20presentados%20por%20Partido%20e%20Independientes%20Proceso%20Electoral%20Local%202014-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LeaderLines val="1"/>
          </c:dLbls>
          <c:cat>
            <c:strRef>
              <c:f>Hoja1!$A$50:$A$53</c:f>
              <c:strCache>
                <c:ptCount val="4"/>
                <c:pt idx="0">
                  <c:v>OP</c:v>
                </c:pt>
                <c:pt idx="1">
                  <c:v>SERS</c:v>
                </c:pt>
                <c:pt idx="2">
                  <c:v>PROTECCIÓN DE DATOS</c:v>
                </c:pt>
                <c:pt idx="3">
                  <c:v>CONSEJOS DISTRITALES </c:v>
                </c:pt>
              </c:strCache>
            </c:strRef>
          </c:cat>
          <c:val>
            <c:numRef>
              <c:f>Hoja1!$B$50:$B$53</c:f>
              <c:numCache>
                <c:formatCode>General</c:formatCode>
                <c:ptCount val="4"/>
                <c:pt idx="0">
                  <c:v>347</c:v>
                </c:pt>
                <c:pt idx="1">
                  <c:v>322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MX"/>
  <c:chart>
    <c:plotArea>
      <c:layout/>
      <c:barChart>
        <c:barDir val="col"/>
        <c:grouping val="clustered"/>
        <c:ser>
          <c:idx val="0"/>
          <c:order val="0"/>
          <c:tx>
            <c:strRef>
              <c:f>GRAL!$C$6</c:f>
              <c:strCache>
                <c:ptCount val="1"/>
                <c:pt idx="0">
                  <c:v>HOMBRES</c:v>
                </c:pt>
              </c:strCache>
            </c:strRef>
          </c:tx>
          <c:dLbls>
            <c:showVal val="1"/>
          </c:dLbls>
          <c:cat>
            <c:strRef>
              <c:f>GRAL!$D$5:$H$5</c:f>
              <c:strCache>
                <c:ptCount val="5"/>
                <c:pt idx="0">
                  <c:v>18-24 AÑOS</c:v>
                </c:pt>
                <c:pt idx="1">
                  <c:v>25-34 AÑOS</c:v>
                </c:pt>
                <c:pt idx="2">
                  <c:v>35-44 AÑOS</c:v>
                </c:pt>
                <c:pt idx="3">
                  <c:v>45-54 AÑOS</c:v>
                </c:pt>
                <c:pt idx="4">
                  <c:v>55 + AÑOS</c:v>
                </c:pt>
              </c:strCache>
            </c:strRef>
          </c:cat>
          <c:val>
            <c:numRef>
              <c:f>GRAL!$D$6:$H$6</c:f>
              <c:numCache>
                <c:formatCode>General</c:formatCode>
                <c:ptCount val="5"/>
                <c:pt idx="0">
                  <c:v>534</c:v>
                </c:pt>
                <c:pt idx="1">
                  <c:v>1299</c:v>
                </c:pt>
                <c:pt idx="2">
                  <c:v>1269</c:v>
                </c:pt>
                <c:pt idx="3">
                  <c:v>1050</c:v>
                </c:pt>
                <c:pt idx="4">
                  <c:v>713</c:v>
                </c:pt>
              </c:numCache>
            </c:numRef>
          </c:val>
        </c:ser>
        <c:ser>
          <c:idx val="1"/>
          <c:order val="1"/>
          <c:tx>
            <c:strRef>
              <c:f>GRAL!$C$7</c:f>
              <c:strCache>
                <c:ptCount val="1"/>
                <c:pt idx="0">
                  <c:v>MUJERES</c:v>
                </c:pt>
              </c:strCache>
            </c:strRef>
          </c:tx>
          <c:dLbls>
            <c:showVal val="1"/>
          </c:dLbls>
          <c:cat>
            <c:strRef>
              <c:f>GRAL!$D$5:$H$5</c:f>
              <c:strCache>
                <c:ptCount val="5"/>
                <c:pt idx="0">
                  <c:v>18-24 AÑOS</c:v>
                </c:pt>
                <c:pt idx="1">
                  <c:v>25-34 AÑOS</c:v>
                </c:pt>
                <c:pt idx="2">
                  <c:v>35-44 AÑOS</c:v>
                </c:pt>
                <c:pt idx="3">
                  <c:v>45-54 AÑOS</c:v>
                </c:pt>
                <c:pt idx="4">
                  <c:v>55 + AÑOS</c:v>
                </c:pt>
              </c:strCache>
            </c:strRef>
          </c:cat>
          <c:val>
            <c:numRef>
              <c:f>GRAL!$D$7:$H$7</c:f>
              <c:numCache>
                <c:formatCode>General</c:formatCode>
                <c:ptCount val="5"/>
                <c:pt idx="0">
                  <c:v>671</c:v>
                </c:pt>
                <c:pt idx="1">
                  <c:v>1278</c:v>
                </c:pt>
                <c:pt idx="2">
                  <c:v>999</c:v>
                </c:pt>
                <c:pt idx="3">
                  <c:v>676</c:v>
                </c:pt>
                <c:pt idx="4">
                  <c:v>315</c:v>
                </c:pt>
              </c:numCache>
            </c:numRef>
          </c:val>
        </c:ser>
        <c:axId val="96024448"/>
        <c:axId val="96025984"/>
      </c:barChart>
      <c:catAx>
        <c:axId val="96024448"/>
        <c:scaling>
          <c:orientation val="minMax"/>
        </c:scaling>
        <c:axPos val="b"/>
        <c:tickLblPos val="nextTo"/>
        <c:crossAx val="96025984"/>
        <c:crosses val="autoZero"/>
        <c:auto val="1"/>
        <c:lblAlgn val="ctr"/>
        <c:lblOffset val="100"/>
      </c:catAx>
      <c:valAx>
        <c:axId val="96025984"/>
        <c:scaling>
          <c:orientation val="minMax"/>
        </c:scaling>
        <c:axPos val="l"/>
        <c:majorGridlines/>
        <c:numFmt formatCode="General" sourceLinked="1"/>
        <c:tickLblPos val="nextTo"/>
        <c:crossAx val="96024448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800" b="1">
          <a:latin typeface="Arial" pitchFamily="34" charset="0"/>
          <a:cs typeface="Arial" pitchFamily="34" charset="0"/>
        </a:defRPr>
      </a:pPr>
      <a:endParaRPr lang="es-MX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plotArea>
      <c:layout/>
      <c:barChart>
        <c:barDir val="col"/>
        <c:grouping val="clustered"/>
        <c:ser>
          <c:idx val="0"/>
          <c:order val="0"/>
          <c:tx>
            <c:strRef>
              <c:f>Comparativo!$B$5</c:f>
              <c:strCache>
                <c:ptCount val="1"/>
                <c:pt idx="0">
                  <c:v>18-24 años</c:v>
                </c:pt>
              </c:strCache>
            </c:strRef>
          </c:tx>
          <c:cat>
            <c:multiLvlStrRef>
              <c:f>Comparativo!$C$3:$J$4</c:f>
              <c:multiLvlStrCache>
                <c:ptCount val="8"/>
                <c:lvl>
                  <c:pt idx="0">
                    <c:v>H</c:v>
                  </c:pt>
                  <c:pt idx="1">
                    <c:v>M</c:v>
                  </c:pt>
                  <c:pt idx="2">
                    <c:v>H</c:v>
                  </c:pt>
                  <c:pt idx="3">
                    <c:v>M</c:v>
                  </c:pt>
                  <c:pt idx="4">
                    <c:v>H</c:v>
                  </c:pt>
                  <c:pt idx="5">
                    <c:v>M</c:v>
                  </c:pt>
                  <c:pt idx="6">
                    <c:v>H</c:v>
                  </c:pt>
                  <c:pt idx="7">
                    <c:v>M</c:v>
                  </c:pt>
                </c:lvl>
                <c:lvl>
                  <c:pt idx="0">
                    <c:v>PRESIDENTES MUNICIPALES</c:v>
                  </c:pt>
                  <c:pt idx="2">
                    <c:v>SÍNDICOS</c:v>
                  </c:pt>
                  <c:pt idx="4">
                    <c:v>REGIDORES</c:v>
                  </c:pt>
                  <c:pt idx="6">
                    <c:v>DIPUTADOS</c:v>
                  </c:pt>
                </c:lvl>
              </c:multiLvlStrCache>
            </c:multiLvlStrRef>
          </c:cat>
          <c:val>
            <c:numRef>
              <c:f>Comparativo!$C$5:$J$5</c:f>
              <c:numCache>
                <c:formatCode>General</c:formatCode>
                <c:ptCount val="8"/>
                <c:pt idx="0">
                  <c:v>53</c:v>
                </c:pt>
                <c:pt idx="1">
                  <c:v>4</c:v>
                </c:pt>
                <c:pt idx="2">
                  <c:v>99</c:v>
                </c:pt>
                <c:pt idx="3">
                  <c:v>78</c:v>
                </c:pt>
                <c:pt idx="4">
                  <c:v>367</c:v>
                </c:pt>
                <c:pt idx="5">
                  <c:v>571</c:v>
                </c:pt>
                <c:pt idx="6">
                  <c:v>15</c:v>
                </c:pt>
                <c:pt idx="7">
                  <c:v>18</c:v>
                </c:pt>
              </c:numCache>
            </c:numRef>
          </c:val>
        </c:ser>
        <c:ser>
          <c:idx val="1"/>
          <c:order val="1"/>
          <c:tx>
            <c:strRef>
              <c:f>Comparativo!$B$6</c:f>
              <c:strCache>
                <c:ptCount val="1"/>
                <c:pt idx="0">
                  <c:v>25-34 años</c:v>
                </c:pt>
              </c:strCache>
            </c:strRef>
          </c:tx>
          <c:cat>
            <c:multiLvlStrRef>
              <c:f>Comparativo!$C$3:$J$4</c:f>
              <c:multiLvlStrCache>
                <c:ptCount val="8"/>
                <c:lvl>
                  <c:pt idx="0">
                    <c:v>H</c:v>
                  </c:pt>
                  <c:pt idx="1">
                    <c:v>M</c:v>
                  </c:pt>
                  <c:pt idx="2">
                    <c:v>H</c:v>
                  </c:pt>
                  <c:pt idx="3">
                    <c:v>M</c:v>
                  </c:pt>
                  <c:pt idx="4">
                    <c:v>H</c:v>
                  </c:pt>
                  <c:pt idx="5">
                    <c:v>M</c:v>
                  </c:pt>
                  <c:pt idx="6">
                    <c:v>H</c:v>
                  </c:pt>
                  <c:pt idx="7">
                    <c:v>M</c:v>
                  </c:pt>
                </c:lvl>
                <c:lvl>
                  <c:pt idx="0">
                    <c:v>PRESIDENTES MUNICIPALES</c:v>
                  </c:pt>
                  <c:pt idx="2">
                    <c:v>SÍNDICOS</c:v>
                  </c:pt>
                  <c:pt idx="4">
                    <c:v>REGIDORES</c:v>
                  </c:pt>
                  <c:pt idx="6">
                    <c:v>DIPUTADOS</c:v>
                  </c:pt>
                </c:lvl>
              </c:multiLvlStrCache>
            </c:multiLvlStrRef>
          </c:cat>
          <c:val>
            <c:numRef>
              <c:f>Comparativo!$C$6:$J$6</c:f>
              <c:numCache>
                <c:formatCode>General</c:formatCode>
                <c:ptCount val="8"/>
                <c:pt idx="0">
                  <c:v>225</c:v>
                </c:pt>
                <c:pt idx="1">
                  <c:v>20</c:v>
                </c:pt>
                <c:pt idx="2">
                  <c:v>241</c:v>
                </c:pt>
                <c:pt idx="3">
                  <c:v>154</c:v>
                </c:pt>
                <c:pt idx="4">
                  <c:v>791</c:v>
                </c:pt>
                <c:pt idx="5">
                  <c:v>1052</c:v>
                </c:pt>
                <c:pt idx="6">
                  <c:v>42</c:v>
                </c:pt>
                <c:pt idx="7">
                  <c:v>52</c:v>
                </c:pt>
              </c:numCache>
            </c:numRef>
          </c:val>
        </c:ser>
        <c:ser>
          <c:idx val="2"/>
          <c:order val="2"/>
          <c:tx>
            <c:strRef>
              <c:f>Comparativo!$B$7</c:f>
              <c:strCache>
                <c:ptCount val="1"/>
                <c:pt idx="0">
                  <c:v>35-44 años</c:v>
                </c:pt>
              </c:strCache>
            </c:strRef>
          </c:tx>
          <c:cat>
            <c:multiLvlStrRef>
              <c:f>Comparativo!$C$3:$J$4</c:f>
              <c:multiLvlStrCache>
                <c:ptCount val="8"/>
                <c:lvl>
                  <c:pt idx="0">
                    <c:v>H</c:v>
                  </c:pt>
                  <c:pt idx="1">
                    <c:v>M</c:v>
                  </c:pt>
                  <c:pt idx="2">
                    <c:v>H</c:v>
                  </c:pt>
                  <c:pt idx="3">
                    <c:v>M</c:v>
                  </c:pt>
                  <c:pt idx="4">
                    <c:v>H</c:v>
                  </c:pt>
                  <c:pt idx="5">
                    <c:v>M</c:v>
                  </c:pt>
                  <c:pt idx="6">
                    <c:v>H</c:v>
                  </c:pt>
                  <c:pt idx="7">
                    <c:v>M</c:v>
                  </c:pt>
                </c:lvl>
                <c:lvl>
                  <c:pt idx="0">
                    <c:v>PRESIDENTES MUNICIPALES</c:v>
                  </c:pt>
                  <c:pt idx="2">
                    <c:v>SÍNDICOS</c:v>
                  </c:pt>
                  <c:pt idx="4">
                    <c:v>REGIDORES</c:v>
                  </c:pt>
                  <c:pt idx="6">
                    <c:v>DIPUTADOS</c:v>
                  </c:pt>
                </c:lvl>
              </c:multiLvlStrCache>
            </c:multiLvlStrRef>
          </c:cat>
          <c:val>
            <c:numRef>
              <c:f>Comparativo!$C$7:$J$7</c:f>
              <c:numCache>
                <c:formatCode>General</c:formatCode>
                <c:ptCount val="8"/>
                <c:pt idx="0">
                  <c:v>281</c:v>
                </c:pt>
                <c:pt idx="1">
                  <c:v>24</c:v>
                </c:pt>
                <c:pt idx="2">
                  <c:v>164</c:v>
                </c:pt>
                <c:pt idx="3">
                  <c:v>93</c:v>
                </c:pt>
                <c:pt idx="4">
                  <c:v>754</c:v>
                </c:pt>
                <c:pt idx="5">
                  <c:v>842</c:v>
                </c:pt>
                <c:pt idx="6">
                  <c:v>70</c:v>
                </c:pt>
                <c:pt idx="7">
                  <c:v>40</c:v>
                </c:pt>
              </c:numCache>
            </c:numRef>
          </c:val>
        </c:ser>
        <c:ser>
          <c:idx val="3"/>
          <c:order val="3"/>
          <c:tx>
            <c:strRef>
              <c:f>Comparativo!$B$8</c:f>
              <c:strCache>
                <c:ptCount val="1"/>
                <c:pt idx="0">
                  <c:v>45-54 años</c:v>
                </c:pt>
              </c:strCache>
            </c:strRef>
          </c:tx>
          <c:cat>
            <c:multiLvlStrRef>
              <c:f>Comparativo!$C$3:$J$4</c:f>
              <c:multiLvlStrCache>
                <c:ptCount val="8"/>
                <c:lvl>
                  <c:pt idx="0">
                    <c:v>H</c:v>
                  </c:pt>
                  <c:pt idx="1">
                    <c:v>M</c:v>
                  </c:pt>
                  <c:pt idx="2">
                    <c:v>H</c:v>
                  </c:pt>
                  <c:pt idx="3">
                    <c:v>M</c:v>
                  </c:pt>
                  <c:pt idx="4">
                    <c:v>H</c:v>
                  </c:pt>
                  <c:pt idx="5">
                    <c:v>M</c:v>
                  </c:pt>
                  <c:pt idx="6">
                    <c:v>H</c:v>
                  </c:pt>
                  <c:pt idx="7">
                    <c:v>M</c:v>
                  </c:pt>
                </c:lvl>
                <c:lvl>
                  <c:pt idx="0">
                    <c:v>PRESIDENTES MUNICIPALES</c:v>
                  </c:pt>
                  <c:pt idx="2">
                    <c:v>SÍNDICOS</c:v>
                  </c:pt>
                  <c:pt idx="4">
                    <c:v>REGIDORES</c:v>
                  </c:pt>
                  <c:pt idx="6">
                    <c:v>DIPUTADOS</c:v>
                  </c:pt>
                </c:lvl>
              </c:multiLvlStrCache>
            </c:multiLvlStrRef>
          </c:cat>
          <c:val>
            <c:numRef>
              <c:f>Comparativo!$C$8:$J$8</c:f>
              <c:numCache>
                <c:formatCode>General</c:formatCode>
                <c:ptCount val="8"/>
                <c:pt idx="0">
                  <c:v>273</c:v>
                </c:pt>
                <c:pt idx="1">
                  <c:v>31</c:v>
                </c:pt>
                <c:pt idx="2">
                  <c:v>116</c:v>
                </c:pt>
                <c:pt idx="3">
                  <c:v>54</c:v>
                </c:pt>
                <c:pt idx="4">
                  <c:v>627</c:v>
                </c:pt>
                <c:pt idx="5">
                  <c:v>558</c:v>
                </c:pt>
                <c:pt idx="6">
                  <c:v>34</c:v>
                </c:pt>
                <c:pt idx="7">
                  <c:v>33</c:v>
                </c:pt>
              </c:numCache>
            </c:numRef>
          </c:val>
        </c:ser>
        <c:ser>
          <c:idx val="4"/>
          <c:order val="4"/>
          <c:tx>
            <c:strRef>
              <c:f>Comparativo!$B$9</c:f>
              <c:strCache>
                <c:ptCount val="1"/>
                <c:pt idx="0">
                  <c:v>55 o más años</c:v>
                </c:pt>
              </c:strCache>
            </c:strRef>
          </c:tx>
          <c:cat>
            <c:multiLvlStrRef>
              <c:f>Comparativo!$C$3:$J$4</c:f>
              <c:multiLvlStrCache>
                <c:ptCount val="8"/>
                <c:lvl>
                  <c:pt idx="0">
                    <c:v>H</c:v>
                  </c:pt>
                  <c:pt idx="1">
                    <c:v>M</c:v>
                  </c:pt>
                  <c:pt idx="2">
                    <c:v>H</c:v>
                  </c:pt>
                  <c:pt idx="3">
                    <c:v>M</c:v>
                  </c:pt>
                  <c:pt idx="4">
                    <c:v>H</c:v>
                  </c:pt>
                  <c:pt idx="5">
                    <c:v>M</c:v>
                  </c:pt>
                  <c:pt idx="6">
                    <c:v>H</c:v>
                  </c:pt>
                  <c:pt idx="7">
                    <c:v>M</c:v>
                  </c:pt>
                </c:lvl>
                <c:lvl>
                  <c:pt idx="0">
                    <c:v>PRESIDENTES MUNICIPALES</c:v>
                  </c:pt>
                  <c:pt idx="2">
                    <c:v>SÍNDICOS</c:v>
                  </c:pt>
                  <c:pt idx="4">
                    <c:v>REGIDORES</c:v>
                  </c:pt>
                  <c:pt idx="6">
                    <c:v>DIPUTADOS</c:v>
                  </c:pt>
                </c:lvl>
              </c:multiLvlStrCache>
            </c:multiLvlStrRef>
          </c:cat>
          <c:val>
            <c:numRef>
              <c:f>Comparativo!$C$9:$J$9</c:f>
              <c:numCache>
                <c:formatCode>General</c:formatCode>
                <c:ptCount val="8"/>
                <c:pt idx="0">
                  <c:v>191</c:v>
                </c:pt>
                <c:pt idx="1">
                  <c:v>14</c:v>
                </c:pt>
                <c:pt idx="2">
                  <c:v>71</c:v>
                </c:pt>
                <c:pt idx="3">
                  <c:v>13</c:v>
                </c:pt>
                <c:pt idx="4">
                  <c:v>435</c:v>
                </c:pt>
                <c:pt idx="5">
                  <c:v>262</c:v>
                </c:pt>
                <c:pt idx="6">
                  <c:v>16</c:v>
                </c:pt>
                <c:pt idx="7">
                  <c:v>26</c:v>
                </c:pt>
              </c:numCache>
            </c:numRef>
          </c:val>
        </c:ser>
        <c:axId val="96241536"/>
        <c:axId val="96243072"/>
      </c:barChart>
      <c:catAx>
        <c:axId val="96241536"/>
        <c:scaling>
          <c:orientation val="minMax"/>
        </c:scaling>
        <c:axPos val="b"/>
        <c:tickLblPos val="nextTo"/>
        <c:crossAx val="96243072"/>
        <c:crosses val="autoZero"/>
        <c:auto val="1"/>
        <c:lblAlgn val="ctr"/>
        <c:lblOffset val="100"/>
      </c:catAx>
      <c:valAx>
        <c:axId val="96243072"/>
        <c:scaling>
          <c:orientation val="minMax"/>
        </c:scaling>
        <c:axPos val="l"/>
        <c:majorGridlines/>
        <c:numFmt formatCode="General" sourceLinked="1"/>
        <c:tickLblPos val="nextTo"/>
        <c:crossAx val="96241536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1000" b="1">
          <a:latin typeface="Arial" pitchFamily="34" charset="0"/>
          <a:cs typeface="Arial" pitchFamily="34" charset="0"/>
        </a:defRPr>
      </a:pPr>
      <a:endParaRPr lang="es-MX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Percent val="1"/>
          </c:dLbls>
          <c:cat>
            <c:strRef>
              <c:f>Hoja1!$A$4:$A$15</c:f>
              <c:strCache>
                <c:ptCount val="12"/>
                <c:pt idx="0">
                  <c:v>ENERO </c:v>
                </c:pt>
                <c:pt idx="1">
                  <c:v>FEBRERO</c:v>
                </c:pt>
                <c:pt idx="2">
                  <c:v>MARZO</c:v>
                </c:pt>
                <c:pt idx="3">
                  <c:v>ABRIL 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 </c:v>
                </c:pt>
              </c:strCache>
            </c:strRef>
          </c:cat>
          <c:val>
            <c:numRef>
              <c:f>Hoja1!$B$4:$B$15</c:f>
              <c:numCache>
                <c:formatCode>General</c:formatCode>
                <c:ptCount val="12"/>
                <c:pt idx="0">
                  <c:v>41</c:v>
                </c:pt>
                <c:pt idx="1">
                  <c:v>25</c:v>
                </c:pt>
                <c:pt idx="2">
                  <c:v>67</c:v>
                </c:pt>
                <c:pt idx="3">
                  <c:v>20</c:v>
                </c:pt>
                <c:pt idx="4">
                  <c:v>37</c:v>
                </c:pt>
                <c:pt idx="5">
                  <c:v>38</c:v>
                </c:pt>
                <c:pt idx="6">
                  <c:v>22</c:v>
                </c:pt>
                <c:pt idx="7">
                  <c:v>14</c:v>
                </c:pt>
                <c:pt idx="8">
                  <c:v>14</c:v>
                </c:pt>
                <c:pt idx="9">
                  <c:v>21</c:v>
                </c:pt>
                <c:pt idx="10">
                  <c:v>29</c:v>
                </c:pt>
                <c:pt idx="11">
                  <c:v>4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8.0171041119860065E-2"/>
          <c:y val="0.113425925925926"/>
          <c:w val="0.63350590551181163"/>
          <c:h val="0.77314814814814892"/>
        </c:manualLayout>
      </c:layout>
      <c:pie3DChart>
        <c:varyColors val="1"/>
        <c:ser>
          <c:idx val="0"/>
          <c:order val="0"/>
          <c:dLbls>
            <c:showPercent val="1"/>
          </c:dLbls>
          <c:cat>
            <c:strRef>
              <c:f>Hoja1!$A$31:$A$42</c:f>
              <c:strCache>
                <c:ptCount val="12"/>
                <c:pt idx="0">
                  <c:v>ENERO </c:v>
                </c:pt>
                <c:pt idx="1">
                  <c:v>FEBRERO</c:v>
                </c:pt>
                <c:pt idx="2">
                  <c:v>MARZO</c:v>
                </c:pt>
                <c:pt idx="3">
                  <c:v>ABRIL 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 </c:v>
                </c:pt>
              </c:strCache>
            </c:strRef>
          </c:cat>
          <c:val>
            <c:numRef>
              <c:f>Hoja1!$B$31:$B$42</c:f>
              <c:numCache>
                <c:formatCode>General</c:formatCode>
                <c:ptCount val="12"/>
                <c:pt idx="0">
                  <c:v>17</c:v>
                </c:pt>
                <c:pt idx="1">
                  <c:v>18</c:v>
                </c:pt>
                <c:pt idx="2">
                  <c:v>24</c:v>
                </c:pt>
                <c:pt idx="3">
                  <c:v>38</c:v>
                </c:pt>
                <c:pt idx="4">
                  <c:v>25</c:v>
                </c:pt>
                <c:pt idx="5">
                  <c:v>115</c:v>
                </c:pt>
                <c:pt idx="6">
                  <c:v>41</c:v>
                </c:pt>
                <c:pt idx="7">
                  <c:v>10</c:v>
                </c:pt>
                <c:pt idx="8">
                  <c:v>13</c:v>
                </c:pt>
                <c:pt idx="9">
                  <c:v>30</c:v>
                </c:pt>
                <c:pt idx="10">
                  <c:v>14</c:v>
                </c:pt>
                <c:pt idx="11">
                  <c:v>2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view3D>
      <c:rAngAx val="1"/>
    </c:view3D>
    <c:plotArea>
      <c:layout>
        <c:manualLayout>
          <c:layoutTarget val="inner"/>
          <c:xMode val="edge"/>
          <c:yMode val="edge"/>
          <c:x val="8.846062992125997E-2"/>
          <c:y val="7.4548702245552642E-2"/>
          <c:w val="0.9115393700787402"/>
          <c:h val="0.8326195683872849"/>
        </c:manualLayout>
      </c:layout>
      <c:bar3D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Hoja1!$A$70:$A$71</c:f>
              <c:strCache>
                <c:ptCount val="2"/>
                <c:pt idx="0">
                  <c:v>REVISIÓN</c:v>
                </c:pt>
                <c:pt idx="1">
                  <c:v>TRANSPARENCIA</c:v>
                </c:pt>
              </c:strCache>
            </c:strRef>
          </c:cat>
          <c:val>
            <c:numRef>
              <c:f>Hoja1!$B$70:$B$71</c:f>
              <c:numCache>
                <c:formatCode>General</c:formatCode>
                <c:ptCount val="2"/>
                <c:pt idx="0">
                  <c:v>7</c:v>
                </c:pt>
                <c:pt idx="1">
                  <c:v>2</c:v>
                </c:pt>
              </c:numCache>
            </c:numRef>
          </c:val>
        </c:ser>
        <c:shape val="cylinder"/>
        <c:axId val="94843648"/>
        <c:axId val="94845184"/>
        <c:axId val="0"/>
      </c:bar3DChart>
      <c:catAx>
        <c:axId val="94843648"/>
        <c:scaling>
          <c:orientation val="minMax"/>
        </c:scaling>
        <c:axPos val="b"/>
        <c:tickLblPos val="nextTo"/>
        <c:crossAx val="94845184"/>
        <c:crosses val="autoZero"/>
        <c:auto val="1"/>
        <c:lblAlgn val="ctr"/>
        <c:lblOffset val="100"/>
      </c:catAx>
      <c:valAx>
        <c:axId val="94845184"/>
        <c:scaling>
          <c:orientation val="minMax"/>
        </c:scaling>
        <c:axPos val="l"/>
        <c:majorGridlines/>
        <c:numFmt formatCode="General" sourceLinked="1"/>
        <c:tickLblPos val="nextTo"/>
        <c:crossAx val="94843648"/>
        <c:crosses val="autoZero"/>
        <c:crossBetween val="between"/>
      </c:val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Solicitudes de información</c:v>
                </c:pt>
              </c:strCache>
            </c:strRef>
          </c:tx>
          <c:dLbls>
            <c:showVal val="1"/>
          </c:dLbls>
          <c:cat>
            <c:numRef>
              <c:f>Hoja1!$A$2:$A$5</c:f>
              <c:numCache>
                <c:formatCode>General</c:formatCode>
                <c:ptCount val="4"/>
              </c:numCache>
            </c:numRef>
          </c:cat>
          <c:val>
            <c:numRef>
              <c:f>Hoja1!$B$2:$B$5</c:f>
              <c:numCache>
                <c:formatCode>General</c:formatCode>
                <c:ptCount val="4"/>
                <c:pt idx="0">
                  <c:v>673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Recursos de revisión </c:v>
                </c:pt>
              </c:strCache>
            </c:strRef>
          </c:tx>
          <c:dLbls>
            <c:showVal val="1"/>
          </c:dLbls>
          <c:cat>
            <c:numRef>
              <c:f>Hoja1!$A$2:$A$5</c:f>
              <c:numCache>
                <c:formatCode>General</c:formatCode>
                <c:ptCount val="4"/>
              </c:numCache>
            </c:numRef>
          </c:cat>
          <c:val>
            <c:numRef>
              <c:f>Hoja1!$C$2:$C$5</c:f>
              <c:numCache>
                <c:formatCode>General</c:formatCode>
                <c:ptCount val="4"/>
                <c:pt idx="0">
                  <c:v>7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cat>
            <c:numRef>
              <c:f>Hoja1!$A$2:$A$5</c:f>
              <c:numCache>
                <c:formatCode>General</c:formatCode>
                <c:ptCount val="4"/>
              </c:numCache>
            </c:num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shape val="cylinder"/>
        <c:axId val="94971008"/>
        <c:axId val="94972544"/>
        <c:axId val="0"/>
      </c:bar3DChart>
      <c:catAx>
        <c:axId val="94971008"/>
        <c:scaling>
          <c:orientation val="minMax"/>
        </c:scaling>
        <c:axPos val="b"/>
        <c:numFmt formatCode="General" sourceLinked="1"/>
        <c:tickLblPos val="nextTo"/>
        <c:crossAx val="94972544"/>
        <c:crosses val="autoZero"/>
        <c:auto val="1"/>
        <c:lblAlgn val="ctr"/>
        <c:lblOffset val="100"/>
      </c:catAx>
      <c:valAx>
        <c:axId val="94972544"/>
        <c:scaling>
          <c:orientation val="minMax"/>
        </c:scaling>
        <c:axPos val="l"/>
        <c:majorGridlines/>
        <c:numFmt formatCode="General" sourceLinked="1"/>
        <c:tickLblPos val="nextTo"/>
        <c:crossAx val="94971008"/>
        <c:crosses val="autoZero"/>
        <c:crossBetween val="between"/>
      </c:valAx>
    </c:plotArea>
    <c:legend>
      <c:legendPos val="r"/>
      <c:legendEntry>
        <c:idx val="2"/>
        <c:delete val="1"/>
      </c:legendEntry>
      <c:txPr>
        <a:bodyPr/>
        <a:lstStyle/>
        <a:p>
          <a:pPr>
            <a:defRPr sz="1200"/>
          </a:pPr>
          <a:endParaRPr lang="es-MX"/>
        </a:p>
      </c:txPr>
    </c:legend>
    <c:plotVisOnly val="1"/>
    <c:dispBlanksAs val="gap"/>
  </c:chart>
  <c:txPr>
    <a:bodyPr/>
    <a:lstStyle/>
    <a:p>
      <a:pPr>
        <a:defRPr sz="1800"/>
      </a:pPr>
      <a:endParaRPr lang="es-MX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style val="11"/>
  <c:chart>
    <c:title>
      <c:tx>
        <c:rich>
          <a:bodyPr/>
          <a:lstStyle/>
          <a:p>
            <a:pPr>
              <a:defRPr/>
            </a:pPr>
            <a:r>
              <a:rPr lang="en-US"/>
              <a:t>Visistas portal de internet</a:t>
            </a:r>
          </a:p>
        </c:rich>
      </c:tx>
    </c:title>
    <c:view3D>
      <c:perspective val="30"/>
    </c:view3D>
    <c:plotArea>
      <c:layout/>
      <c:area3DChart>
        <c:grouping val="standard"/>
        <c:ser>
          <c:idx val="0"/>
          <c:order val="0"/>
          <c:tx>
            <c:strRef>
              <c:f>Hoja1!$B$2</c:f>
              <c:strCache>
                <c:ptCount val="1"/>
                <c:pt idx="0">
                  <c:v>37,389</c:v>
                </c:pt>
              </c:strCache>
            </c:strRef>
          </c:tx>
          <c:cat>
            <c:strRef>
              <c:f>Hoja1!$A$2:$A$13</c:f>
              <c:strCache>
                <c:ptCount val="12"/>
                <c:pt idx="0">
                  <c:v>Enero 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 </c:v>
                </c:pt>
              </c:strCache>
            </c:strRef>
          </c:cat>
          <c:val>
            <c:numRef>
              <c:f>Hoja1!$B$2:$B$13</c:f>
              <c:numCache>
                <c:formatCode>#,##0</c:formatCode>
                <c:ptCount val="12"/>
                <c:pt idx="0">
                  <c:v>37389</c:v>
                </c:pt>
                <c:pt idx="1">
                  <c:v>35627</c:v>
                </c:pt>
                <c:pt idx="2">
                  <c:v>52011</c:v>
                </c:pt>
                <c:pt idx="3">
                  <c:v>82830</c:v>
                </c:pt>
                <c:pt idx="4">
                  <c:v>105462</c:v>
                </c:pt>
                <c:pt idx="5">
                  <c:v>210337</c:v>
                </c:pt>
                <c:pt idx="6">
                  <c:v>25237</c:v>
                </c:pt>
                <c:pt idx="7">
                  <c:v>19816</c:v>
                </c:pt>
                <c:pt idx="8">
                  <c:v>15426</c:v>
                </c:pt>
                <c:pt idx="9">
                  <c:v>15892</c:v>
                </c:pt>
                <c:pt idx="10">
                  <c:v>15430</c:v>
                </c:pt>
                <c:pt idx="11">
                  <c:v>9927</c:v>
                </c:pt>
              </c:numCache>
            </c:numRef>
          </c:val>
        </c:ser>
        <c:axId val="94991872"/>
        <c:axId val="94993408"/>
        <c:axId val="94975744"/>
      </c:area3DChart>
      <c:catAx>
        <c:axId val="94991872"/>
        <c:scaling>
          <c:orientation val="minMax"/>
        </c:scaling>
        <c:axPos val="b"/>
        <c:majorTickMark val="none"/>
        <c:tickLblPos val="nextTo"/>
        <c:crossAx val="94993408"/>
        <c:crosses val="autoZero"/>
        <c:auto val="1"/>
        <c:lblAlgn val="ctr"/>
        <c:lblOffset val="100"/>
      </c:catAx>
      <c:valAx>
        <c:axId val="94993408"/>
        <c:scaling>
          <c:orientation val="minMax"/>
        </c:scaling>
        <c:axPos val="l"/>
        <c:majorGridlines/>
        <c:numFmt formatCode="#,##0" sourceLinked="1"/>
        <c:majorTickMark val="none"/>
        <c:tickLblPos val="nextTo"/>
        <c:crossAx val="94991872"/>
        <c:crosses val="autoZero"/>
        <c:crossBetween val="midCat"/>
      </c:valAx>
      <c:serAx>
        <c:axId val="94975744"/>
        <c:scaling>
          <c:orientation val="minMax"/>
        </c:scaling>
        <c:delete val="1"/>
        <c:axPos val="b"/>
        <c:tickLblPos val="none"/>
        <c:crossAx val="94993408"/>
        <c:crosses val="autoZero"/>
      </c:serAx>
    </c:plotArea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style val="10"/>
  <c:chart>
    <c:view3D>
      <c:perspective val="30"/>
    </c:view3D>
    <c:plotArea>
      <c:layout>
        <c:manualLayout>
          <c:layoutTarget val="inner"/>
          <c:xMode val="edge"/>
          <c:yMode val="edge"/>
          <c:x val="9.3196850393700945E-2"/>
          <c:y val="7.4548702245552642E-2"/>
          <c:w val="0.63125481189851362"/>
          <c:h val="0.67083588509769665"/>
        </c:manualLayout>
      </c:layout>
      <c:area3DChart>
        <c:grouping val="standard"/>
        <c:ser>
          <c:idx val="0"/>
          <c:order val="0"/>
          <c:cat>
            <c:strRef>
              <c:f>Hoja1!$A$35:$A$46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Hoja1!$B$35:$B$46</c:f>
              <c:numCache>
                <c:formatCode>#,##0</c:formatCode>
                <c:ptCount val="12"/>
                <c:pt idx="0">
                  <c:v>1150</c:v>
                </c:pt>
                <c:pt idx="1">
                  <c:v>1157</c:v>
                </c:pt>
                <c:pt idx="2">
                  <c:v>1417</c:v>
                </c:pt>
                <c:pt idx="3">
                  <c:v>1357</c:v>
                </c:pt>
                <c:pt idx="4">
                  <c:v>1286</c:v>
                </c:pt>
                <c:pt idx="5">
                  <c:v>1373</c:v>
                </c:pt>
                <c:pt idx="6" formatCode="General">
                  <c:v>863</c:v>
                </c:pt>
                <c:pt idx="7" formatCode="General">
                  <c:v>816</c:v>
                </c:pt>
                <c:pt idx="8" formatCode="General">
                  <c:v>939</c:v>
                </c:pt>
                <c:pt idx="9" formatCode="General">
                  <c:v>888</c:v>
                </c:pt>
                <c:pt idx="10" formatCode="General">
                  <c:v>833</c:v>
                </c:pt>
                <c:pt idx="11" formatCode="General">
                  <c:v>654</c:v>
                </c:pt>
              </c:numCache>
            </c:numRef>
          </c:val>
        </c:ser>
        <c:axId val="95010816"/>
        <c:axId val="95012352"/>
        <c:axId val="94976640"/>
      </c:area3DChart>
      <c:catAx>
        <c:axId val="95010816"/>
        <c:scaling>
          <c:orientation val="minMax"/>
        </c:scaling>
        <c:axPos val="b"/>
        <c:tickLblPos val="nextTo"/>
        <c:crossAx val="95012352"/>
        <c:crosses val="autoZero"/>
        <c:auto val="1"/>
        <c:lblAlgn val="ctr"/>
        <c:lblOffset val="100"/>
      </c:catAx>
      <c:valAx>
        <c:axId val="95012352"/>
        <c:scaling>
          <c:orientation val="minMax"/>
        </c:scaling>
        <c:axPos val="l"/>
        <c:majorGridlines/>
        <c:numFmt formatCode="#,##0" sourceLinked="1"/>
        <c:tickLblPos val="nextTo"/>
        <c:crossAx val="95010816"/>
        <c:crosses val="autoZero"/>
        <c:crossBetween val="midCat"/>
      </c:valAx>
      <c:serAx>
        <c:axId val="94976640"/>
        <c:scaling>
          <c:orientation val="minMax"/>
        </c:scaling>
        <c:delete val="1"/>
        <c:axPos val="b"/>
        <c:tickLblPos val="none"/>
        <c:crossAx val="95012352"/>
        <c:crosses val="autoZero"/>
      </c:serAx>
    </c:plotArea>
    <c:plotVisOnly val="1"/>
    <c:dispBlanksAs val="zero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LeaderLines val="1"/>
          </c:dLbls>
          <c:cat>
            <c:strRef>
              <c:f>Hoja1!$A$70:$A$73</c:f>
              <c:strCache>
                <c:ptCount val="4"/>
                <c:pt idx="1">
                  <c:v>Desktop</c:v>
                </c:pt>
                <c:pt idx="2">
                  <c:v>Mobile</c:v>
                </c:pt>
                <c:pt idx="3">
                  <c:v>Tablet</c:v>
                </c:pt>
              </c:strCache>
            </c:strRef>
          </c:cat>
          <c:val>
            <c:numRef>
              <c:f>Hoja1!$B$70:$B$73</c:f>
              <c:numCache>
                <c:formatCode>0.00%</c:formatCode>
                <c:ptCount val="4"/>
                <c:pt idx="1">
                  <c:v>0.63520000000000054</c:v>
                </c:pt>
                <c:pt idx="2">
                  <c:v>0.30760000000000026</c:v>
                </c:pt>
                <c:pt idx="3">
                  <c:v>5.7200000000000001E-2</c:v>
                </c:pt>
              </c:numCache>
            </c:numRef>
          </c:val>
        </c:ser>
      </c:pie3DChart>
    </c:plotArea>
    <c:legend>
      <c:legendPos val="r"/>
      <c:legendEntry>
        <c:idx val="0"/>
        <c:delete val="1"/>
      </c:legendEntry>
    </c:legend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v>Requeridos</c:v>
          </c:tx>
          <c:dLbls>
            <c:dLbl>
              <c:idx val="0"/>
              <c:layout>
                <c:manualLayout>
                  <c:x val="-6.6666657917761598E-3"/>
                  <c:y val="0.18443804034582195"/>
                </c:manualLayout>
              </c:layout>
              <c:showVal val="1"/>
            </c:dLbl>
            <c:dLbl>
              <c:idx val="2"/>
              <c:layout>
                <c:manualLayout>
                  <c:x val="-2.4132725429346423E-3"/>
                  <c:y val="0.13064361191162338"/>
                </c:manualLayout>
              </c:layout>
              <c:showVal val="1"/>
            </c:dLbl>
            <c:dLbl>
              <c:idx val="4"/>
              <c:layout>
                <c:manualLayout>
                  <c:x val="-2.4132725429346423E-3"/>
                  <c:y val="8.8376560999039788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0.16138328530259374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0.13832853025936601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8.4534101825168045E-2"/>
                </c:manualLayout>
              </c:layout>
              <c:showVal val="1"/>
            </c:dLbl>
            <c:spPr>
              <a:solidFill>
                <a:schemeClr val="accent6">
                  <a:lumMod val="75000"/>
                </a:schemeClr>
              </a:solidFill>
            </c:spPr>
            <c:showVal val="1"/>
          </c:dLbls>
          <c:cat>
            <c:strRef>
              <c:f>Concentrado!$B$4:$B$16</c:f>
              <c:strCache>
                <c:ptCount val="13"/>
                <c:pt idx="0">
                  <c:v>PAN</c:v>
                </c:pt>
                <c:pt idx="1">
                  <c:v>PRI</c:v>
                </c:pt>
                <c:pt idx="2">
                  <c:v>PRD</c:v>
                </c:pt>
                <c:pt idx="3">
                  <c:v>PT</c:v>
                </c:pt>
                <c:pt idx="4">
                  <c:v>PVEM</c:v>
                </c:pt>
                <c:pt idx="5">
                  <c:v>NALIANZA</c:v>
                </c:pt>
                <c:pt idx="6">
                  <c:v>MC</c:v>
                </c:pt>
                <c:pt idx="7">
                  <c:v>MORENA</c:v>
                </c:pt>
                <c:pt idx="8">
                  <c:v>HUMANISTA</c:v>
                </c:pt>
                <c:pt idx="9">
                  <c:v>ENCUENTRO SOCIAL</c:v>
                </c:pt>
                <c:pt idx="10">
                  <c:v>PRI-PVEM</c:v>
                </c:pt>
                <c:pt idx="11">
                  <c:v>PAN-PRD</c:v>
                </c:pt>
                <c:pt idx="12">
                  <c:v>INDEPENDIENTES</c:v>
                </c:pt>
              </c:strCache>
            </c:strRef>
          </c:cat>
          <c:val>
            <c:numRef>
              <c:f>Concentrado!$C$4:$C$16</c:f>
              <c:numCache>
                <c:formatCode>General</c:formatCode>
                <c:ptCount val="13"/>
                <c:pt idx="0">
                  <c:v>1367</c:v>
                </c:pt>
                <c:pt idx="1">
                  <c:v>1271</c:v>
                </c:pt>
                <c:pt idx="2">
                  <c:v>861</c:v>
                </c:pt>
                <c:pt idx="3">
                  <c:v>595</c:v>
                </c:pt>
                <c:pt idx="4">
                  <c:v>550</c:v>
                </c:pt>
                <c:pt idx="5">
                  <c:v>875</c:v>
                </c:pt>
                <c:pt idx="6">
                  <c:v>1879</c:v>
                </c:pt>
                <c:pt idx="7">
                  <c:v>1357</c:v>
                </c:pt>
                <c:pt idx="8">
                  <c:v>583</c:v>
                </c:pt>
                <c:pt idx="9">
                  <c:v>663</c:v>
                </c:pt>
                <c:pt idx="10">
                  <c:v>670</c:v>
                </c:pt>
                <c:pt idx="11">
                  <c:v>532</c:v>
                </c:pt>
                <c:pt idx="12">
                  <c:v>102</c:v>
                </c:pt>
              </c:numCache>
            </c:numRef>
          </c:val>
        </c:ser>
        <c:ser>
          <c:idx val="1"/>
          <c:order val="1"/>
          <c:tx>
            <c:v>Entregados</c:v>
          </c:tx>
          <c:dLbls>
            <c:dLbl>
              <c:idx val="0"/>
              <c:layout>
                <c:manualLayout>
                  <c:x val="4.9999993438321283E-3"/>
                  <c:y val="0.28049951969260389"/>
                </c:manualLayout>
              </c:layout>
              <c:showVal val="1"/>
            </c:dLbl>
            <c:dLbl>
              <c:idx val="1"/>
              <c:layout>
                <c:manualLayout>
                  <c:x val="1.206636271467296E-3"/>
                  <c:y val="0.20365033621517772"/>
                </c:manualLayout>
              </c:layout>
              <c:showVal val="1"/>
            </c:dLbl>
            <c:dLbl>
              <c:idx val="2"/>
              <c:layout>
                <c:manualLayout>
                  <c:x val="4.8265450858692724E-3"/>
                  <c:y val="0.13064361191162338"/>
                </c:manualLayout>
              </c:layout>
              <c:showVal val="1"/>
            </c:dLbl>
            <c:dLbl>
              <c:idx val="4"/>
              <c:layout>
                <c:manualLayout>
                  <c:x val="3.619908814402004E-3"/>
                  <c:y val="0.10374639769452429"/>
                </c:manualLayout>
              </c:layout>
              <c:showVal val="1"/>
            </c:dLbl>
            <c:dLbl>
              <c:idx val="6"/>
              <c:layout>
                <c:manualLayout>
                  <c:x val="1.2066362714673179E-3"/>
                  <c:y val="0.27665706051873179"/>
                </c:manualLayout>
              </c:layout>
              <c:showVal val="1"/>
            </c:dLbl>
            <c:dLbl>
              <c:idx val="9"/>
              <c:layout>
                <c:manualLayout>
                  <c:x val="2.4132725429347251E-3"/>
                  <c:y val="0.1152737752161387"/>
                </c:manualLayout>
              </c:layout>
              <c:showVal val="1"/>
            </c:dLbl>
            <c:dLbl>
              <c:idx val="10"/>
              <c:layout>
                <c:manualLayout>
                  <c:x val="3.6199088144018661E-3"/>
                  <c:y val="0.11527377521613864"/>
                </c:manualLayout>
              </c:layout>
              <c:showVal val="1"/>
            </c:dLbl>
            <c:dLbl>
              <c:idx val="11"/>
              <c:layout>
                <c:manualLayout>
                  <c:x val="0"/>
                  <c:y val="9.2219020172910657E-2"/>
                </c:manualLayout>
              </c:layout>
              <c:showVal val="1"/>
            </c:dLbl>
            <c:spPr>
              <a:solidFill>
                <a:srgbClr val="FFC000"/>
              </a:solidFill>
            </c:spPr>
            <c:showVal val="1"/>
          </c:dLbls>
          <c:cat>
            <c:strRef>
              <c:f>Concentrado!$B$4:$B$16</c:f>
              <c:strCache>
                <c:ptCount val="13"/>
                <c:pt idx="0">
                  <c:v>PAN</c:v>
                </c:pt>
                <c:pt idx="1">
                  <c:v>PRI</c:v>
                </c:pt>
                <c:pt idx="2">
                  <c:v>PRD</c:v>
                </c:pt>
                <c:pt idx="3">
                  <c:v>PT</c:v>
                </c:pt>
                <c:pt idx="4">
                  <c:v>PVEM</c:v>
                </c:pt>
                <c:pt idx="5">
                  <c:v>NALIANZA</c:v>
                </c:pt>
                <c:pt idx="6">
                  <c:v>MC</c:v>
                </c:pt>
                <c:pt idx="7">
                  <c:v>MORENA</c:v>
                </c:pt>
                <c:pt idx="8">
                  <c:v>HUMANISTA</c:v>
                </c:pt>
                <c:pt idx="9">
                  <c:v>ENCUENTRO SOCIAL</c:v>
                </c:pt>
                <c:pt idx="10">
                  <c:v>PRI-PVEM</c:v>
                </c:pt>
                <c:pt idx="11">
                  <c:v>PAN-PRD</c:v>
                </c:pt>
                <c:pt idx="12">
                  <c:v>INDEPENDIENTES</c:v>
                </c:pt>
              </c:strCache>
            </c:strRef>
          </c:cat>
          <c:val>
            <c:numRef>
              <c:f>Concentrado!$D$4:$D$16</c:f>
              <c:numCache>
                <c:formatCode>General</c:formatCode>
                <c:ptCount val="13"/>
                <c:pt idx="0">
                  <c:v>1299</c:v>
                </c:pt>
                <c:pt idx="1">
                  <c:v>1250</c:v>
                </c:pt>
                <c:pt idx="2">
                  <c:v>668</c:v>
                </c:pt>
                <c:pt idx="3">
                  <c:v>225</c:v>
                </c:pt>
                <c:pt idx="4">
                  <c:v>479</c:v>
                </c:pt>
                <c:pt idx="5">
                  <c:v>700</c:v>
                </c:pt>
                <c:pt idx="6">
                  <c:v>1788</c:v>
                </c:pt>
                <c:pt idx="7">
                  <c:v>195</c:v>
                </c:pt>
                <c:pt idx="8">
                  <c:v>452</c:v>
                </c:pt>
                <c:pt idx="9">
                  <c:v>587</c:v>
                </c:pt>
                <c:pt idx="10">
                  <c:v>648</c:v>
                </c:pt>
                <c:pt idx="11">
                  <c:v>485</c:v>
                </c:pt>
                <c:pt idx="12">
                  <c:v>28</c:v>
                </c:pt>
              </c:numCache>
            </c:numRef>
          </c:val>
        </c:ser>
        <c:shape val="box"/>
        <c:axId val="95992832"/>
        <c:axId val="96002816"/>
        <c:axId val="0"/>
      </c:bar3DChart>
      <c:catAx>
        <c:axId val="95992832"/>
        <c:scaling>
          <c:orientation val="minMax"/>
        </c:scaling>
        <c:axPos val="b"/>
        <c:tickLblPos val="nextTo"/>
        <c:crossAx val="96002816"/>
        <c:crosses val="autoZero"/>
        <c:auto val="1"/>
        <c:lblAlgn val="ctr"/>
        <c:lblOffset val="100"/>
      </c:catAx>
      <c:valAx>
        <c:axId val="96002816"/>
        <c:scaling>
          <c:orientation val="minMax"/>
        </c:scaling>
        <c:axPos val="l"/>
        <c:majorGridlines/>
        <c:numFmt formatCode="General" sourceLinked="1"/>
        <c:tickLblPos val="nextTo"/>
        <c:crossAx val="95992832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600" b="1">
          <a:latin typeface="Arial" pitchFamily="34" charset="0"/>
          <a:cs typeface="Arial" pitchFamily="34" charset="0"/>
        </a:defRPr>
      </a:pPr>
      <a:endParaRPr lang="es-MX"/>
    </a:p>
  </c:tx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18A729E79C43A5AB24633C7C08E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88BCB-90C7-43C9-A871-8D4B1AC97A38}"/>
      </w:docPartPr>
      <w:docPartBody>
        <w:p w:rsidR="001B2245" w:rsidRDefault="001B2245" w:rsidP="001B2245">
          <w:pPr>
            <w:pStyle w:val="F218A729E79C43A5AB24633C7C08E0CB"/>
          </w:pPr>
          <w:r>
            <w:rPr>
              <w:color w:val="FFFFFF" w:themeColor="background1"/>
              <w:sz w:val="80"/>
              <w:szCs w:val="80"/>
              <w:lang w:val="es-ES"/>
            </w:rPr>
            <w:t>[Escribir el título del documento]</w:t>
          </w:r>
        </w:p>
      </w:docPartBody>
    </w:docPart>
    <w:docPart>
      <w:docPartPr>
        <w:name w:val="91DBA41E2CF7496BBD89DFE435ACE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34CD9-8FFE-47C8-9222-8A769216DFC1}"/>
      </w:docPartPr>
      <w:docPartBody>
        <w:p w:rsidR="001B2245" w:rsidRDefault="001B2245" w:rsidP="001B2245">
          <w:pPr>
            <w:pStyle w:val="91DBA41E2CF7496BBD89DFE435ACEA26"/>
          </w:pPr>
          <w:r>
            <w:rPr>
              <w:color w:val="FFFFFF" w:themeColor="background1"/>
              <w:sz w:val="40"/>
              <w:szCs w:val="40"/>
              <w:lang w:val="es-ES"/>
            </w:rPr>
            <w:t>[Escribir el subtítulo del documento]</w:t>
          </w:r>
        </w:p>
      </w:docPartBody>
    </w:docPart>
    <w:docPart>
      <w:docPartPr>
        <w:name w:val="57C5C743C3BD4C118E53CB258DAB3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3B882-3D8D-4247-8379-2A5EEB591F26}"/>
      </w:docPartPr>
      <w:docPartBody>
        <w:p w:rsidR="001B2245" w:rsidRDefault="001B2245" w:rsidP="001B2245">
          <w:pPr>
            <w:pStyle w:val="57C5C743C3BD4C118E53CB258DAB39B0"/>
          </w:pPr>
          <w:r>
            <w:rPr>
              <w:color w:val="FFFFFF" w:themeColor="background1"/>
              <w:sz w:val="48"/>
              <w:szCs w:val="48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2245"/>
    <w:rsid w:val="001B2245"/>
    <w:rsid w:val="00E1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|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218A729E79C43A5AB24633C7C08E0CB">
    <w:name w:val="F218A729E79C43A5AB24633C7C08E0CB"/>
    <w:rsid w:val="001B2245"/>
  </w:style>
  <w:style w:type="paragraph" w:customStyle="1" w:styleId="91DBA41E2CF7496BBD89DFE435ACEA26">
    <w:name w:val="91DBA41E2CF7496BBD89DFE435ACEA26"/>
    <w:rsid w:val="001B2245"/>
  </w:style>
  <w:style w:type="paragraph" w:customStyle="1" w:styleId="A7C6C20B2BE24A79BDBEECD87E209782">
    <w:name w:val="A7C6C20B2BE24A79BDBEECD87E209782"/>
    <w:rsid w:val="001B2245"/>
  </w:style>
  <w:style w:type="paragraph" w:customStyle="1" w:styleId="57C5C743C3BD4C118E53CB258DAB39B0">
    <w:name w:val="57C5C743C3BD4C118E53CB258DAB39B0"/>
    <w:rsid w:val="001B2245"/>
  </w:style>
  <w:style w:type="paragraph" w:customStyle="1" w:styleId="98B09DCA27C34901954EF46949A0601D">
    <w:name w:val="98B09DCA27C34901954EF46949A0601D"/>
    <w:rsid w:val="001B2245"/>
  </w:style>
  <w:style w:type="paragraph" w:customStyle="1" w:styleId="4E09624639044BF7BC67DC0C14DDA7A8">
    <w:name w:val="4E09624639044BF7BC67DC0C14DDA7A8"/>
    <w:rsid w:val="001B2245"/>
  </w:style>
  <w:style w:type="paragraph" w:customStyle="1" w:styleId="A5D750141CD04B1D99F2FFE9EC2EA3EC">
    <w:name w:val="A5D750141CD04B1D99F2FFE9EC2EA3EC"/>
    <w:rsid w:val="001B224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502A65-F444-4A61-96E1-18633F85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45</Pages>
  <Words>2695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Electoral y de Participación Ciudadana del Estado de Jalisco</Company>
  <LinksUpToDate>false</LinksUpToDate>
  <CharactersWithSpaces>17485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Anual 2015</dc:title>
  <dc:subject>Unidad de Transparencia e Información Pública</dc:subject>
  <dc:creator>Olga Patricia Vergara Guzmán</dc:creator>
  <cp:lastModifiedBy>Carlos Jacobo García Hernández</cp:lastModifiedBy>
  <cp:revision>4</cp:revision>
  <dcterms:created xsi:type="dcterms:W3CDTF">2016-04-19T17:31:00Z</dcterms:created>
  <dcterms:modified xsi:type="dcterms:W3CDTF">2016-06-06T15:09:00Z</dcterms:modified>
</cp:coreProperties>
</file>