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106" w:rsidRPr="00053564" w:rsidRDefault="009D5106" w:rsidP="009D5106">
      <w:pPr>
        <w:rPr>
          <w:lang w:eastAsia="es-MX"/>
        </w:rPr>
      </w:pPr>
    </w:p>
    <w:p w:rsidR="009D5106" w:rsidRDefault="009D5106" w:rsidP="009D5106">
      <w:pPr>
        <w:spacing w:after="0" w:line="240" w:lineRule="auto"/>
        <w:rPr>
          <w:rFonts w:ascii="Trebuchet MS" w:eastAsia="Times New Roman" w:hAnsi="Trebuchet MS" w:cs="Arial"/>
          <w:sz w:val="28"/>
          <w:szCs w:val="28"/>
          <w:lang w:eastAsia="es-MX"/>
        </w:rPr>
      </w:pPr>
      <w:r w:rsidRPr="008179EA">
        <w:rPr>
          <w:noProof/>
          <w:lang w:eastAsia="es-MX"/>
        </w:rPr>
        <w:drawing>
          <wp:inline distT="0" distB="0" distL="0" distR="0" wp14:anchorId="162CB05C" wp14:editId="4B768134">
            <wp:extent cx="6857228" cy="2903220"/>
            <wp:effectExtent l="0" t="0" r="127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465" cy="290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06" w:rsidRDefault="009D5106" w:rsidP="009D5106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rPr>
          <w:rFonts w:cstheme="minorHAnsi"/>
          <w:lang w:eastAsia="es-MX"/>
        </w:rPr>
      </w:pPr>
      <w:r w:rsidRPr="00B11753">
        <w:rPr>
          <w:rFonts w:cstheme="minorHAnsi"/>
          <w:lang w:eastAsia="es-MX"/>
        </w:rPr>
        <w:t>Una vez concluido el proceso electoral concurrente 2014-2015, se procedió al acopio de las actas electorales integradas en un expediente por distrito, municipio y sección para su captura e integración de base de datos que permita conjuntar datos como la asistencia de los funcionarios de mesa directiva de casilla, representantes de los partidos políticos y candidatos independientes ante mesa directiva de casilla, tiempos de apertura y cierre de las casillas, incidentes y entrega de los paquetes electorales ante los Consejos Distritales o Municipales, respectivamente.</w:t>
      </w:r>
    </w:p>
    <w:p w:rsidR="009D5106" w:rsidRPr="00AF15AC" w:rsidRDefault="009D5106" w:rsidP="009D5106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sz w:val="24"/>
          <w:lang w:eastAsia="es-MX"/>
        </w:rPr>
      </w:pPr>
    </w:p>
    <w:p w:rsidR="009D5106" w:rsidRDefault="009D5106" w:rsidP="009D510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lang w:eastAsia="es-MX"/>
        </w:rPr>
      </w:pPr>
      <w:r w:rsidRPr="00B11753">
        <w:rPr>
          <w:rFonts w:cstheme="minorHAnsi"/>
          <w:lang w:eastAsia="es-MX"/>
        </w:rPr>
        <w:t>El destino de generar bases de datos es crear herramientas que coadyuven en la investigación ya sea de forma interna al Instituto Electoral (Direcciones o publicaciones) como externa (investigadores, maestros, articulistas, reporteros, etc.) también se convierte en una herramienta para que los partidos políticos o candidatos independientes validen la asistencia de sus representantes.</w:t>
      </w:r>
    </w:p>
    <w:p w:rsidR="009D5106" w:rsidRPr="00AF15AC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sz w:val="28"/>
          <w:lang w:eastAsia="es-MX"/>
        </w:rPr>
      </w:pPr>
    </w:p>
    <w:p w:rsidR="009D5106" w:rsidRPr="00053564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lang w:eastAsia="es-MX"/>
        </w:rPr>
      </w:pPr>
      <w:r w:rsidRPr="00B11753">
        <w:rPr>
          <w:rFonts w:cstheme="minorHAnsi"/>
          <w:lang w:eastAsia="es-MX"/>
        </w:rPr>
        <w:t>Se cumplió con el 90% del objetivo principal.</w:t>
      </w:r>
    </w:p>
    <w:p w:rsidR="009D5106" w:rsidRPr="00AF15AC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sz w:val="28"/>
          <w:lang w:eastAsia="es-MX"/>
        </w:rPr>
      </w:pPr>
    </w:p>
    <w:p w:rsidR="009D5106" w:rsidRPr="00053564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lang w:eastAsia="es-MX"/>
        </w:rPr>
      </w:pPr>
      <w:r w:rsidRPr="00B11753">
        <w:rPr>
          <w:rFonts w:cstheme="minorHAnsi"/>
          <w:lang w:eastAsia="es-MX"/>
        </w:rPr>
        <w:t>Generar bases de datos con la integración de la información correspondiente a las 9,278 actas electorales de las casillas instaladas, durante el proceso electoral concurrente 2014-2015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cstheme="minorHAnsi"/>
          <w:lang w:eastAsia="es-MX"/>
        </w:rPr>
      </w:pP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Pr="00273A9A" w:rsidRDefault="009D5106" w:rsidP="009D5106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cstheme="minorHAnsi"/>
          <w:lang w:eastAsia="es-MX"/>
        </w:rPr>
      </w:pPr>
      <w:r w:rsidRPr="00B11753">
        <w:rPr>
          <w:rFonts w:cstheme="minorHAnsi"/>
          <w:lang w:eastAsia="es-MX"/>
        </w:rPr>
        <w:t>La falta de personal, desatender la captura de las actas para asignar tiempos en la logística de eventos institucionales y recorte del presupuesto.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cstheme="minorHAnsi"/>
          <w:sz w:val="20"/>
          <w:szCs w:val="16"/>
          <w:lang w:eastAsia="es-MX"/>
        </w:rPr>
      </w:pPr>
      <w:r w:rsidRPr="00B11753">
        <w:rPr>
          <w:rFonts w:cstheme="minorHAnsi"/>
          <w:sz w:val="20"/>
          <w:szCs w:val="16"/>
          <w:lang w:eastAsia="es-MX"/>
        </w:rPr>
        <w:t>La contratación del personal eventual debe ser por más tiempo, para concluir en tiempo y forma; como consecuencia, la captura se finalizó en marzo del 2017.</w:t>
      </w:r>
    </w:p>
    <w:p w:rsidR="009D5106" w:rsidRPr="00B11753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cstheme="minorHAnsi"/>
          <w:sz w:val="28"/>
          <w:lang w:eastAsia="es-MX"/>
        </w:rPr>
      </w:pPr>
    </w:p>
    <w:p w:rsidR="009D5106" w:rsidRPr="00053564" w:rsidRDefault="009D5106" w:rsidP="009D5106">
      <w:pPr>
        <w:rPr>
          <w:lang w:eastAsia="es-MX"/>
        </w:rPr>
      </w:pPr>
    </w:p>
    <w:p w:rsidR="009D5106" w:rsidRDefault="009D5106" w:rsidP="009D5106">
      <w:pPr>
        <w:spacing w:after="0" w:line="240" w:lineRule="auto"/>
        <w:rPr>
          <w:rFonts w:ascii="Trebuchet MS" w:eastAsia="Times New Roman" w:hAnsi="Trebuchet MS" w:cs="Arial"/>
          <w:sz w:val="28"/>
          <w:szCs w:val="28"/>
          <w:lang w:eastAsia="es-MX"/>
        </w:rPr>
      </w:pPr>
      <w:r w:rsidRPr="00C0150B">
        <w:rPr>
          <w:noProof/>
          <w:lang w:eastAsia="es-MX"/>
        </w:rPr>
        <w:lastRenderedPageBreak/>
        <w:drawing>
          <wp:inline distT="0" distB="0" distL="0" distR="0" wp14:anchorId="1C47822F" wp14:editId="7E59F3D3">
            <wp:extent cx="6856575" cy="3192780"/>
            <wp:effectExtent l="0" t="0" r="1905" b="762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61" cy="319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06" w:rsidRDefault="009D5106" w:rsidP="009D5106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9D5106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participó en los talleres que organizó el Instituto Nacional Electoral, para la creación de los tres escenarios de la Distribución Nacional, la participación fue en lo que corresponde a Jalisco, también se integraron mesas de discusión y análisis con los representantes de los partidos políticos ante el instituto Electoral.</w:t>
      </w:r>
    </w:p>
    <w:p w:rsidR="009D5106" w:rsidRDefault="009D5106" w:rsidP="009D5106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162EE">
        <w:rPr>
          <w:lang w:eastAsia="es-MX"/>
        </w:rPr>
        <w:t>Partidos Políticos y ciudadanía interesada</w:t>
      </w:r>
    </w:p>
    <w:p w:rsidR="009D5106" w:rsidRPr="00053564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162EE">
        <w:rPr>
          <w:lang w:eastAsia="es-MX"/>
        </w:rPr>
        <w:t>25% sólo seguimiento del proceso de renovación</w:t>
      </w:r>
    </w:p>
    <w:p w:rsidR="009D5106" w:rsidRPr="00053564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</w:t>
      </w:r>
    </w:p>
    <w:p w:rsidR="009D5106" w:rsidRPr="00273A9A" w:rsidRDefault="009D5106" w:rsidP="009D5106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sz w:val="24"/>
          <w:szCs w:val="24"/>
          <w:lang w:eastAsia="es-MX"/>
        </w:rPr>
      </w:pPr>
      <w:r w:rsidRPr="005162EE">
        <w:rPr>
          <w:sz w:val="24"/>
          <w:szCs w:val="24"/>
          <w:lang w:eastAsia="es-MX"/>
        </w:rPr>
        <w:t>Falta de presupuesto y personal de apoyo, estrategias de levantamiento de información en campo para la integración de información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162EE">
        <w:rPr>
          <w:lang w:eastAsia="es-MX"/>
        </w:rPr>
        <w:t>Ninguno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/>
    <w:p w:rsidR="009D5106" w:rsidRDefault="009D5106"/>
    <w:p w:rsidR="009D5106" w:rsidRDefault="009D5106"/>
    <w:p w:rsidR="009D5106" w:rsidRDefault="009D5106"/>
    <w:p w:rsidR="009D5106" w:rsidRDefault="009D5106"/>
    <w:p w:rsidR="009D5106" w:rsidRPr="00053564" w:rsidRDefault="009D5106" w:rsidP="009D5106">
      <w:pPr>
        <w:rPr>
          <w:lang w:eastAsia="es-MX"/>
        </w:rPr>
      </w:pPr>
    </w:p>
    <w:p w:rsidR="009D5106" w:rsidRDefault="009D5106" w:rsidP="009D5106">
      <w:pPr>
        <w:spacing w:after="0" w:line="240" w:lineRule="auto"/>
        <w:rPr>
          <w:rFonts w:ascii="Trebuchet MS" w:eastAsia="Times New Roman" w:hAnsi="Trebuchet MS" w:cs="Arial"/>
          <w:sz w:val="28"/>
          <w:szCs w:val="28"/>
          <w:lang w:eastAsia="es-MX"/>
        </w:rPr>
      </w:pPr>
      <w:r w:rsidRPr="00C0150B">
        <w:rPr>
          <w:noProof/>
          <w:lang w:eastAsia="es-MX"/>
        </w:rPr>
        <w:drawing>
          <wp:inline distT="0" distB="0" distL="0" distR="0" wp14:anchorId="5BEBF30A" wp14:editId="05D7BD8C">
            <wp:extent cx="6856575" cy="3192780"/>
            <wp:effectExtent l="0" t="0" r="1905" b="762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61" cy="319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06" w:rsidRDefault="009D5106" w:rsidP="009D5106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9D5106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participó en los talleres que organizó el Instituto Nacional Electoral, para la creación de los tres escenarios de la Distribución Nacional, la participación fue en lo que corresponde a Jalisco, también se integraron mesas de discusión y análisis con los representantes de los partidos políticos ante el instituto Electoral.</w:t>
      </w:r>
    </w:p>
    <w:p w:rsidR="009D5106" w:rsidRDefault="009D5106" w:rsidP="009D5106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162EE">
        <w:rPr>
          <w:lang w:eastAsia="es-MX"/>
        </w:rPr>
        <w:t>Partidos Políticos y ciudadanía interesada</w:t>
      </w:r>
    </w:p>
    <w:p w:rsidR="009D5106" w:rsidRPr="00053564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162EE">
        <w:rPr>
          <w:lang w:eastAsia="es-MX"/>
        </w:rPr>
        <w:t>25% sólo seguimiento del proceso de renovación</w:t>
      </w:r>
    </w:p>
    <w:p w:rsidR="009D5106" w:rsidRPr="00053564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</w:t>
      </w:r>
    </w:p>
    <w:p w:rsidR="009D5106" w:rsidRPr="00273A9A" w:rsidRDefault="009D5106" w:rsidP="009D5106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sz w:val="24"/>
          <w:szCs w:val="24"/>
          <w:lang w:eastAsia="es-MX"/>
        </w:rPr>
      </w:pPr>
      <w:r w:rsidRPr="005162EE">
        <w:rPr>
          <w:sz w:val="24"/>
          <w:szCs w:val="24"/>
          <w:lang w:eastAsia="es-MX"/>
        </w:rPr>
        <w:t>Falta de presupuesto y personal de apoyo, estrategias de levantamiento de información en campo para la integración de información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D5106" w:rsidRPr="005162EE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162EE">
        <w:rPr>
          <w:lang w:eastAsia="es-MX"/>
        </w:rPr>
        <w:t>Ninguno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/>
    <w:p w:rsidR="002C65C3" w:rsidRDefault="002C65C3" w:rsidP="009D5106">
      <w:pPr>
        <w:rPr>
          <w:lang w:eastAsia="es-MX"/>
        </w:rPr>
      </w:pPr>
    </w:p>
    <w:p w:rsidR="009D5106" w:rsidRPr="00053564" w:rsidRDefault="009D5106" w:rsidP="009D5106">
      <w:pPr>
        <w:rPr>
          <w:lang w:eastAsia="es-MX"/>
        </w:rPr>
      </w:pPr>
      <w:r w:rsidRPr="00A554DB">
        <w:rPr>
          <w:noProof/>
          <w:lang w:eastAsia="es-MX"/>
        </w:rPr>
        <w:drawing>
          <wp:inline distT="0" distB="0" distL="0" distR="0" wp14:anchorId="408F6173" wp14:editId="579A5E74">
            <wp:extent cx="6858000" cy="2498928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498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06" w:rsidRDefault="009D5106" w:rsidP="009D5106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9D5106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80% como resultado un diagnóstico del material electoral por reciclar.</w:t>
      </w:r>
    </w:p>
    <w:p w:rsidR="009D5106" w:rsidRPr="0035504A" w:rsidRDefault="009D5106" w:rsidP="009D5106">
      <w:pPr>
        <w:pStyle w:val="Ttulo2"/>
        <w:numPr>
          <w:ilvl w:val="0"/>
          <w:numId w:val="4"/>
        </w:numPr>
        <w:rPr>
          <w:rFonts w:eastAsia="Times New Roman"/>
          <w:sz w:val="22"/>
          <w:szCs w:val="22"/>
          <w:lang w:eastAsia="es-MX"/>
        </w:rPr>
      </w:pPr>
      <w:r>
        <w:rPr>
          <w:rFonts w:eastAsia="Times New Roman"/>
          <w:lang w:eastAsia="es-MX"/>
        </w:rPr>
        <w:t>Destinatarios o beneficiarios del proyecto</w:t>
      </w:r>
      <w:r w:rsidRPr="0035504A">
        <w:rPr>
          <w:rFonts w:eastAsia="Times New Roman"/>
          <w:sz w:val="22"/>
          <w:szCs w:val="22"/>
          <w:lang w:eastAsia="es-MX"/>
        </w:rPr>
        <w:t xml:space="preserve"> </w:t>
      </w:r>
    </w:p>
    <w:p w:rsidR="009D5106" w:rsidRPr="0035504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35504A">
        <w:rPr>
          <w:lang w:eastAsia="es-MX"/>
        </w:rPr>
        <w:t>Ciudadanía en general, al reducir los costos en presupuesto para la compra de materiales electorales</w:t>
      </w:r>
      <w:r>
        <w:rPr>
          <w:lang w:eastAsia="es-MX"/>
        </w:rPr>
        <w:t>.</w:t>
      </w:r>
    </w:p>
    <w:p w:rsidR="009D5106" w:rsidRPr="00053564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9D5106" w:rsidRPr="00E71C95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E71C95">
        <w:rPr>
          <w:lang w:eastAsia="es-MX"/>
        </w:rPr>
        <w:t>80% limpieza y acondicionamiento de bodega, diagnóstico de los materiales electorales a rehabilitar.</w:t>
      </w:r>
    </w:p>
    <w:p w:rsidR="009D5106" w:rsidRPr="00053564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9D5106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Diagnóstico del status del material electoral para su rehabilitación.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Pr="00273A9A" w:rsidRDefault="009D5106" w:rsidP="009D5106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9D5106" w:rsidRPr="00E71C95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E71C95">
        <w:rPr>
          <w:lang w:eastAsia="es-MX"/>
        </w:rPr>
        <w:t>El aplazamiento de las actividades por falta de personal y de presupuesto.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D5106" w:rsidRPr="005910C8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lang w:eastAsia="es-MX"/>
        </w:rPr>
      </w:pPr>
      <w:r w:rsidRPr="005910C8">
        <w:rPr>
          <w:rFonts w:cstheme="minorHAnsi"/>
          <w:lang w:eastAsia="es-MX"/>
        </w:rPr>
        <w:t>La asignación de personal permanente en la bodega, la habilitación de un taller que incluya las herramientas necesarias para la adecuada rehabilitación de los materiales electorales y el control de los bienes e insumos.</w:t>
      </w:r>
    </w:p>
    <w:p w:rsidR="009D5106" w:rsidRPr="00AF15AC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sz w:val="28"/>
          <w:lang w:eastAsia="es-MX"/>
        </w:rPr>
      </w:pP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/>
    <w:p w:rsidR="009D5106" w:rsidRDefault="009D5106"/>
    <w:p w:rsidR="009D5106" w:rsidRDefault="009D5106"/>
    <w:p w:rsidR="009D5106" w:rsidRDefault="009D5106" w:rsidP="009D5106">
      <w:pPr>
        <w:rPr>
          <w:lang w:eastAsia="es-MX"/>
        </w:rPr>
      </w:pPr>
    </w:p>
    <w:p w:rsidR="009D5106" w:rsidRPr="00053564" w:rsidRDefault="009D5106" w:rsidP="009D5106">
      <w:pPr>
        <w:rPr>
          <w:lang w:eastAsia="es-MX"/>
        </w:rPr>
      </w:pPr>
      <w:r w:rsidRPr="00B30477">
        <w:rPr>
          <w:noProof/>
          <w:lang w:eastAsia="es-MX"/>
        </w:rPr>
        <w:drawing>
          <wp:inline distT="0" distB="0" distL="0" distR="0" wp14:anchorId="582674A3" wp14:editId="56556BA7">
            <wp:extent cx="6858000" cy="2621575"/>
            <wp:effectExtent l="0" t="0" r="0" b="762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62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06" w:rsidRDefault="009D5106" w:rsidP="009D5106">
      <w:pPr>
        <w:spacing w:after="0" w:line="240" w:lineRule="auto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9D5106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Por cuestión de presupuesto y falta de personal, no se llevó a la cabo la actualización a la aplicación que se utiliza durante el proceso electoral para el seguimiento de actividades de los Consejos Distritales y Municipales.</w:t>
      </w:r>
    </w:p>
    <w:p w:rsidR="009D5106" w:rsidRDefault="009D5106" w:rsidP="009D5106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9D5106" w:rsidRPr="00053564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Personal de la Dirección de Organización Electoral</w:t>
      </w:r>
    </w:p>
    <w:p w:rsidR="009D5106" w:rsidRDefault="009D5106" w:rsidP="009D5106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9D5106" w:rsidRPr="00053564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</w:t>
      </w:r>
    </w:p>
    <w:p w:rsidR="009D5106" w:rsidRDefault="009D5106" w:rsidP="009D5106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</w:t>
      </w:r>
    </w:p>
    <w:p w:rsidR="009D5106" w:rsidRPr="00273A9A" w:rsidRDefault="009D5106" w:rsidP="009D5106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9D5106" w:rsidRPr="004D33C2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4D33C2">
        <w:rPr>
          <w:lang w:eastAsia="es-MX"/>
        </w:rPr>
        <w:t>Falta de presupuesto</w:t>
      </w:r>
      <w:r>
        <w:rPr>
          <w:lang w:eastAsia="es-MX"/>
        </w:rPr>
        <w:t xml:space="preserve"> y personal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D5106" w:rsidRPr="004D33C2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4D33C2">
        <w:rPr>
          <w:lang w:eastAsia="es-MX"/>
        </w:rPr>
        <w:t>Ninguno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/>
    <w:p w:rsidR="009D5106" w:rsidRDefault="009D5106"/>
    <w:p w:rsidR="009D5106" w:rsidRDefault="009D5106"/>
    <w:p w:rsidR="009D5106" w:rsidRDefault="009D5106"/>
    <w:p w:rsidR="009D5106" w:rsidRDefault="009D5106"/>
    <w:p w:rsidR="009D5106" w:rsidRDefault="009D5106">
      <w:bookmarkStart w:id="0" w:name="_GoBack"/>
      <w:bookmarkEnd w:id="0"/>
    </w:p>
    <w:p w:rsidR="009D5106" w:rsidRDefault="009D5106" w:rsidP="009D5106">
      <w:pPr>
        <w:rPr>
          <w:lang w:eastAsia="es-MX"/>
        </w:rPr>
      </w:pPr>
    </w:p>
    <w:p w:rsidR="009D5106" w:rsidRDefault="009D5106" w:rsidP="009D5106">
      <w:pPr>
        <w:rPr>
          <w:noProof/>
          <w:lang w:eastAsia="es-MX"/>
        </w:rPr>
      </w:pPr>
      <w:r w:rsidRPr="00A149D3">
        <w:rPr>
          <w:noProof/>
          <w:lang w:eastAsia="es-MX"/>
        </w:rPr>
        <w:drawing>
          <wp:inline distT="0" distB="0" distL="0" distR="0" wp14:anchorId="260FC8BA" wp14:editId="46943FFE">
            <wp:extent cx="6858000" cy="2703340"/>
            <wp:effectExtent l="0" t="0" r="0" b="190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70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106" w:rsidRDefault="009D5106" w:rsidP="009D5106">
      <w:pPr>
        <w:spacing w:after="0" w:line="240" w:lineRule="auto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9D5106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 supervisión de las actividades se realizó al 100% generándose los informes y avances con oportunidad.</w:t>
      </w:r>
    </w:p>
    <w:p w:rsidR="009D5106" w:rsidRDefault="009D5106" w:rsidP="009D5106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9D5106" w:rsidRPr="00053564" w:rsidRDefault="009D5106" w:rsidP="009D51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Los beneficios serían la evaluación oportuna de las actividades en desarrollo por la Dirección de Organización Electoral</w:t>
      </w:r>
    </w:p>
    <w:p w:rsidR="009D5106" w:rsidRDefault="009D5106" w:rsidP="009D5106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9D5106" w:rsidRPr="00053564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El cumplimiento del objetivo del proyecto se subsano con las adecuaciones a la página web para las posibles consultas populares.</w:t>
      </w:r>
    </w:p>
    <w:p w:rsidR="009D5106" w:rsidRDefault="009D5106" w:rsidP="009D5106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Ninguna porque no se ejecutó con la herramienta tecnológica</w:t>
      </w:r>
    </w:p>
    <w:p w:rsidR="009D5106" w:rsidRPr="00273A9A" w:rsidRDefault="009D5106" w:rsidP="009D5106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9D5106" w:rsidRPr="00616F2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616F2A">
        <w:rPr>
          <w:lang w:eastAsia="es-MX"/>
        </w:rPr>
        <w:t>Falta de presupuesto y personal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 w:rsidP="009D5106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9D5106" w:rsidRPr="00616F2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616F2A">
        <w:rPr>
          <w:lang w:eastAsia="es-MX"/>
        </w:rPr>
        <w:t>Implementar un proyecto con el objetivo de controlar y evaluar las tareas es una oportunidad para identificar los detalles a mejorar en calidad y tiempo de ejecución.</w:t>
      </w:r>
    </w:p>
    <w:p w:rsidR="009D5106" w:rsidRPr="0093207A" w:rsidRDefault="009D5106" w:rsidP="009D510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9D5106" w:rsidRDefault="009D5106"/>
    <w:p w:rsidR="009D5106" w:rsidRDefault="009D5106"/>
    <w:p w:rsidR="009D5106" w:rsidRDefault="009D5106"/>
    <w:p w:rsidR="009D5106" w:rsidRDefault="009D5106"/>
    <w:p w:rsidR="009D5106" w:rsidRDefault="009D5106"/>
    <w:p w:rsidR="009D5106" w:rsidRDefault="009D5106"/>
    <w:p w:rsidR="009D5106" w:rsidRDefault="002C65C3">
      <w:r>
        <w:t>Anexo 1</w:t>
      </w:r>
    </w:p>
    <w:p w:rsidR="002C65C3" w:rsidRPr="00C910D3" w:rsidRDefault="002C65C3" w:rsidP="002C65C3">
      <w:pPr>
        <w:spacing w:before="114"/>
        <w:ind w:left="5100" w:right="5111"/>
        <w:jc w:val="center"/>
        <w:rPr>
          <w:b/>
          <w:sz w:val="15"/>
        </w:rPr>
      </w:pPr>
      <w:r w:rsidRPr="00C910D3">
        <w:rPr>
          <w:b/>
          <w:sz w:val="15"/>
        </w:rPr>
        <w:t>EXISTENCIAS DE MATERIAL ELECTORAL EN BUEN ESTADO</w:t>
      </w:r>
    </w:p>
    <w:p w:rsidR="002C65C3" w:rsidRPr="00C910D3" w:rsidRDefault="002C65C3" w:rsidP="002C65C3">
      <w:pPr>
        <w:pStyle w:val="Textoindependiente"/>
        <w:rPr>
          <w:b/>
          <w:sz w:val="15"/>
          <w:lang w:val="es-MX"/>
        </w:rPr>
      </w:pPr>
    </w:p>
    <w:tbl>
      <w:tblPr>
        <w:tblStyle w:val="TableNormal"/>
        <w:tblW w:w="0" w:type="auto"/>
        <w:tblInd w:w="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3132"/>
        <w:gridCol w:w="1114"/>
        <w:gridCol w:w="8172"/>
      </w:tblGrid>
      <w:tr w:rsidR="002C65C3" w:rsidTr="00D0456C">
        <w:trPr>
          <w:trHeight w:val="460"/>
        </w:trPr>
        <w:tc>
          <w:tcPr>
            <w:tcW w:w="1142" w:type="dxa"/>
            <w:shd w:val="clear" w:color="auto" w:fill="DA9694"/>
          </w:tcPr>
          <w:p w:rsidR="002C65C3" w:rsidRDefault="002C65C3" w:rsidP="00D0456C">
            <w:pPr>
              <w:pStyle w:val="TableParagraph"/>
              <w:spacing w:before="3"/>
              <w:ind w:left="41" w:right="3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ORGANISMO</w:t>
            </w:r>
          </w:p>
          <w:p w:rsidR="002C65C3" w:rsidRDefault="002C65C3" w:rsidP="00D0456C">
            <w:pPr>
              <w:pStyle w:val="TableParagraph"/>
              <w:spacing w:before="5" w:line="160" w:lineRule="atLeast"/>
              <w:ind w:left="46" w:right="33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PÚBLICO LOCAL</w:t>
            </w:r>
            <w:r>
              <w:rPr>
                <w:rFonts w:ascii="Arial" w:hAnsi="Arial"/>
                <w:b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2"/>
              </w:rPr>
              <w:t>ELECTORAL</w:t>
            </w:r>
          </w:p>
        </w:tc>
        <w:tc>
          <w:tcPr>
            <w:tcW w:w="3132" w:type="dxa"/>
            <w:tcBorders>
              <w:bottom w:val="single" w:sz="2" w:space="0" w:color="000000"/>
            </w:tcBorders>
            <w:shd w:val="clear" w:color="auto" w:fill="DA9694"/>
          </w:tcPr>
          <w:p w:rsidR="002C65C3" w:rsidRDefault="002C65C3" w:rsidP="00D0456C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2C65C3" w:rsidRDefault="002C65C3" w:rsidP="00D0456C">
            <w:pPr>
              <w:pStyle w:val="TableParagraph"/>
              <w:ind w:left="828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w w:val="105"/>
                <w:sz w:val="12"/>
              </w:rPr>
              <w:t>MATERIAL / ARTÍCULO*</w:t>
            </w:r>
          </w:p>
        </w:tc>
        <w:tc>
          <w:tcPr>
            <w:tcW w:w="1114" w:type="dxa"/>
            <w:shd w:val="clear" w:color="auto" w:fill="DA9694"/>
          </w:tcPr>
          <w:p w:rsidR="002C65C3" w:rsidRDefault="002C65C3" w:rsidP="00D0456C">
            <w:pPr>
              <w:pStyle w:val="TableParagraph"/>
              <w:spacing w:before="85"/>
              <w:ind w:left="204" w:right="19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CANTIDAD</w:t>
            </w:r>
          </w:p>
          <w:p w:rsidR="002C65C3" w:rsidRDefault="002C65C3" w:rsidP="00D0456C">
            <w:pPr>
              <w:pStyle w:val="TableParagraph"/>
              <w:spacing w:before="27"/>
              <w:ind w:left="196" w:right="19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(</w:t>
            </w:r>
            <w:proofErr w:type="spellStart"/>
            <w:r>
              <w:rPr>
                <w:rFonts w:ascii="Arial"/>
                <w:b/>
                <w:w w:val="105"/>
                <w:sz w:val="12"/>
              </w:rPr>
              <w:t>pz</w:t>
            </w:r>
            <w:proofErr w:type="spellEnd"/>
            <w:r>
              <w:rPr>
                <w:rFonts w:ascii="Arial"/>
                <w:b/>
                <w:w w:val="105"/>
                <w:sz w:val="12"/>
              </w:rPr>
              <w:t>)</w:t>
            </w:r>
          </w:p>
        </w:tc>
        <w:tc>
          <w:tcPr>
            <w:tcW w:w="8172" w:type="dxa"/>
            <w:shd w:val="clear" w:color="auto" w:fill="DA9694"/>
          </w:tcPr>
          <w:p w:rsidR="002C65C3" w:rsidRDefault="002C65C3" w:rsidP="00D0456C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2C65C3" w:rsidRDefault="002C65C3" w:rsidP="00D0456C">
            <w:pPr>
              <w:pStyle w:val="TableParagraph"/>
              <w:ind w:left="3511" w:right="349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OBSERVACIONES</w:t>
            </w:r>
          </w:p>
        </w:tc>
      </w:tr>
      <w:tr w:rsidR="002C65C3" w:rsidRPr="00C910D3" w:rsidTr="00D0456C">
        <w:trPr>
          <w:trHeight w:val="159"/>
        </w:trPr>
        <w:tc>
          <w:tcPr>
            <w:tcW w:w="1142" w:type="dxa"/>
            <w:vMerge w:val="restart"/>
          </w:tcPr>
          <w:p w:rsidR="002C65C3" w:rsidRPr="00C910D3" w:rsidRDefault="002C65C3" w:rsidP="00D0456C">
            <w:pPr>
              <w:pStyle w:val="TableParagraph"/>
              <w:rPr>
                <w:b/>
                <w:sz w:val="14"/>
                <w:lang w:val="es-MX"/>
              </w:rPr>
            </w:pPr>
          </w:p>
          <w:p w:rsidR="002C65C3" w:rsidRPr="00C910D3" w:rsidRDefault="002C65C3" w:rsidP="00D0456C">
            <w:pPr>
              <w:pStyle w:val="TableParagraph"/>
              <w:rPr>
                <w:b/>
                <w:sz w:val="14"/>
                <w:lang w:val="es-MX"/>
              </w:rPr>
            </w:pPr>
          </w:p>
          <w:p w:rsidR="002C65C3" w:rsidRPr="00C910D3" w:rsidRDefault="002C65C3" w:rsidP="00D0456C">
            <w:pPr>
              <w:pStyle w:val="TableParagraph"/>
              <w:rPr>
                <w:b/>
                <w:sz w:val="14"/>
                <w:lang w:val="es-MX"/>
              </w:rPr>
            </w:pPr>
          </w:p>
          <w:p w:rsidR="002C65C3" w:rsidRPr="00C910D3" w:rsidRDefault="002C65C3" w:rsidP="00D0456C">
            <w:pPr>
              <w:pStyle w:val="TableParagraph"/>
              <w:spacing w:before="11"/>
              <w:rPr>
                <w:b/>
                <w:sz w:val="14"/>
                <w:lang w:val="es-MX"/>
              </w:rPr>
            </w:pPr>
          </w:p>
          <w:p w:rsidR="002C65C3" w:rsidRPr="00C910D3" w:rsidRDefault="002C65C3" w:rsidP="00D0456C">
            <w:pPr>
              <w:pStyle w:val="TableParagraph"/>
              <w:spacing w:line="256" w:lineRule="auto"/>
              <w:ind w:left="17" w:right="10"/>
              <w:jc w:val="both"/>
              <w:rPr>
                <w:sz w:val="14"/>
                <w:lang w:val="es-MX"/>
              </w:rPr>
            </w:pPr>
            <w:r w:rsidRPr="00C910D3">
              <w:rPr>
                <w:sz w:val="14"/>
                <w:lang w:val="es-MX"/>
              </w:rPr>
              <w:t>Instituto  Electoral y de Participación Ciudadana del Estado de Jalisco</w:t>
            </w: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</w:rPr>
            </w:pPr>
            <w:proofErr w:type="spellStart"/>
            <w:r>
              <w:rPr>
                <w:sz w:val="15"/>
              </w:rPr>
              <w:t>Urna</w:t>
            </w:r>
            <w:proofErr w:type="spellEnd"/>
            <w:r>
              <w:rPr>
                <w:sz w:val="15"/>
              </w:rPr>
              <w:t xml:space="preserve"> de </w:t>
            </w:r>
            <w:proofErr w:type="spellStart"/>
            <w:r>
              <w:rPr>
                <w:sz w:val="15"/>
              </w:rPr>
              <w:t>Munícipes</w:t>
            </w:r>
            <w:proofErr w:type="spellEnd"/>
          </w:p>
        </w:tc>
        <w:tc>
          <w:tcPr>
            <w:tcW w:w="1114" w:type="dxa"/>
            <w:tcBorders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sz w:val="15"/>
              </w:rPr>
              <w:t>8,056</w:t>
            </w:r>
          </w:p>
        </w:tc>
        <w:tc>
          <w:tcPr>
            <w:tcW w:w="8172" w:type="dxa"/>
          </w:tcPr>
          <w:p w:rsidR="002C65C3" w:rsidRPr="00C910D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  <w:lang w:val="es-MX"/>
              </w:rPr>
            </w:pPr>
            <w:r w:rsidRPr="00C910D3">
              <w:rPr>
                <w:sz w:val="15"/>
                <w:lang w:val="es-MX"/>
              </w:rPr>
              <w:t>El material recuperado se encuentra manchado con restos de cinta y pegamento de la misma</w:t>
            </w: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</w:rPr>
            </w:pPr>
            <w:proofErr w:type="spellStart"/>
            <w:r>
              <w:rPr>
                <w:sz w:val="15"/>
              </w:rPr>
              <w:t>Urna</w:t>
            </w:r>
            <w:proofErr w:type="spellEnd"/>
            <w:r>
              <w:rPr>
                <w:sz w:val="15"/>
              </w:rPr>
              <w:t xml:space="preserve"> de </w:t>
            </w:r>
            <w:proofErr w:type="spellStart"/>
            <w:r>
              <w:rPr>
                <w:sz w:val="15"/>
              </w:rPr>
              <w:t>Diputados</w:t>
            </w:r>
            <w:proofErr w:type="spellEnd"/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right="17"/>
              <w:jc w:val="right"/>
              <w:rPr>
                <w:sz w:val="15"/>
              </w:rPr>
            </w:pPr>
            <w:r>
              <w:rPr>
                <w:sz w:val="15"/>
              </w:rPr>
              <w:t>8,237</w:t>
            </w:r>
          </w:p>
        </w:tc>
        <w:tc>
          <w:tcPr>
            <w:tcW w:w="8172" w:type="dxa"/>
            <w:tcBorders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  <w:lang w:val="es-MX"/>
              </w:rPr>
            </w:pPr>
            <w:r w:rsidRPr="00C910D3">
              <w:rPr>
                <w:sz w:val="15"/>
                <w:lang w:val="es-MX"/>
              </w:rPr>
              <w:t>El material recuperado se encuentra manchado con restos de cinta y pegamento de la misma</w:t>
            </w: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</w:rPr>
            </w:pPr>
            <w:proofErr w:type="spellStart"/>
            <w:r>
              <w:rPr>
                <w:sz w:val="15"/>
              </w:rPr>
              <w:t>Caja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Paquete</w:t>
            </w:r>
            <w:proofErr w:type="spellEnd"/>
            <w:r>
              <w:rPr>
                <w:sz w:val="15"/>
              </w:rPr>
              <w:t xml:space="preserve"> de </w:t>
            </w:r>
            <w:proofErr w:type="spellStart"/>
            <w:r>
              <w:rPr>
                <w:sz w:val="15"/>
              </w:rPr>
              <w:t>Munícipes</w:t>
            </w:r>
            <w:proofErr w:type="spellEnd"/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right="16"/>
              <w:jc w:val="right"/>
              <w:rPr>
                <w:sz w:val="15"/>
              </w:rPr>
            </w:pPr>
            <w:r>
              <w:rPr>
                <w:sz w:val="15"/>
              </w:rPr>
              <w:t>7,040</w:t>
            </w: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  <w:lang w:val="es-MX"/>
              </w:rPr>
            </w:pPr>
            <w:r w:rsidRPr="00C910D3">
              <w:rPr>
                <w:sz w:val="15"/>
                <w:lang w:val="es-MX"/>
              </w:rPr>
              <w:t xml:space="preserve">El material se encuentra rotulado con plumón de tinta permanente, así como con restos de cinta y pegamento de la </w:t>
            </w:r>
            <w:proofErr w:type="spellStart"/>
            <w:r w:rsidRPr="00C910D3">
              <w:rPr>
                <w:sz w:val="15"/>
                <w:lang w:val="es-MX"/>
              </w:rPr>
              <w:t>mism</w:t>
            </w:r>
            <w:proofErr w:type="spellEnd"/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</w:rPr>
            </w:pPr>
            <w:proofErr w:type="spellStart"/>
            <w:r>
              <w:rPr>
                <w:sz w:val="15"/>
              </w:rPr>
              <w:t>Caja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Paquete</w:t>
            </w:r>
            <w:proofErr w:type="spellEnd"/>
            <w:r>
              <w:rPr>
                <w:sz w:val="15"/>
              </w:rPr>
              <w:t xml:space="preserve"> de </w:t>
            </w:r>
            <w:proofErr w:type="spellStart"/>
            <w:r>
              <w:rPr>
                <w:sz w:val="15"/>
              </w:rPr>
              <w:t>Diputados</w:t>
            </w:r>
            <w:proofErr w:type="spellEnd"/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right="16"/>
              <w:jc w:val="right"/>
              <w:rPr>
                <w:sz w:val="15"/>
              </w:rPr>
            </w:pPr>
            <w:r>
              <w:rPr>
                <w:sz w:val="15"/>
              </w:rPr>
              <w:t>8,671</w:t>
            </w: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  <w:lang w:val="es-MX"/>
              </w:rPr>
            </w:pPr>
            <w:r w:rsidRPr="00C910D3">
              <w:rPr>
                <w:sz w:val="15"/>
                <w:lang w:val="es-MX"/>
              </w:rPr>
              <w:t xml:space="preserve">El material se encuentra rotulado con plumón de tinta permanente, así como con restos de cinta y pegamento de la </w:t>
            </w:r>
            <w:proofErr w:type="spellStart"/>
            <w:r w:rsidRPr="00C910D3">
              <w:rPr>
                <w:sz w:val="15"/>
                <w:lang w:val="es-MX"/>
              </w:rPr>
              <w:t>mism</w:t>
            </w:r>
            <w:proofErr w:type="spellEnd"/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  <w:lang w:val="es-MX"/>
              </w:rPr>
            </w:pPr>
            <w:r w:rsidRPr="00C910D3">
              <w:rPr>
                <w:sz w:val="15"/>
                <w:lang w:val="es-MX"/>
              </w:rPr>
              <w:t>Caja para entrega de Documentación Electoral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line="159" w:lineRule="exact"/>
              <w:ind w:right="16"/>
              <w:jc w:val="right"/>
              <w:rPr>
                <w:sz w:val="15"/>
              </w:rPr>
            </w:pPr>
            <w:r>
              <w:rPr>
                <w:sz w:val="15"/>
              </w:rPr>
              <w:t>7,807</w:t>
            </w: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spacing w:line="159" w:lineRule="exact"/>
              <w:ind w:left="17"/>
              <w:rPr>
                <w:sz w:val="15"/>
                <w:lang w:val="es-MX"/>
              </w:rPr>
            </w:pPr>
            <w:r w:rsidRPr="00C910D3">
              <w:rPr>
                <w:sz w:val="15"/>
                <w:lang w:val="es-MX"/>
              </w:rPr>
              <w:t xml:space="preserve">El material se encuentra rotulado con plumón de tinta permanente, así como con restos de cinta y pegamento de la </w:t>
            </w:r>
            <w:proofErr w:type="spellStart"/>
            <w:r w:rsidRPr="00C910D3">
              <w:rPr>
                <w:sz w:val="15"/>
                <w:lang w:val="es-MX"/>
              </w:rPr>
              <w:t>mism</w:t>
            </w:r>
            <w:proofErr w:type="spellEnd"/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8172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</w:tr>
      <w:tr w:rsidR="002C65C3" w:rsidRPr="00C910D3" w:rsidTr="00D0456C">
        <w:trPr>
          <w:trHeight w:val="160"/>
        </w:trPr>
        <w:tc>
          <w:tcPr>
            <w:tcW w:w="1142" w:type="dxa"/>
            <w:vMerge/>
            <w:tcBorders>
              <w:top w:val="nil"/>
            </w:tcBorders>
          </w:tcPr>
          <w:p w:rsidR="002C65C3" w:rsidRPr="00C910D3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132" w:type="dxa"/>
            <w:tcBorders>
              <w:top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1114" w:type="dxa"/>
            <w:tcBorders>
              <w:top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  <w:tc>
          <w:tcPr>
            <w:tcW w:w="8172" w:type="dxa"/>
            <w:tcBorders>
              <w:top w:val="single" w:sz="2" w:space="0" w:color="000000"/>
            </w:tcBorders>
          </w:tcPr>
          <w:p w:rsidR="002C65C3" w:rsidRPr="00C910D3" w:rsidRDefault="002C65C3" w:rsidP="00D0456C">
            <w:pPr>
              <w:pStyle w:val="TableParagraph"/>
              <w:rPr>
                <w:rFonts w:ascii="Times New Roman"/>
                <w:sz w:val="12"/>
                <w:lang w:val="es-MX"/>
              </w:rPr>
            </w:pPr>
          </w:p>
        </w:tc>
      </w:tr>
    </w:tbl>
    <w:p w:rsidR="002C65C3" w:rsidRPr="00C910D3" w:rsidRDefault="002C65C3" w:rsidP="002C65C3">
      <w:pPr>
        <w:pStyle w:val="Textoindependiente"/>
        <w:spacing w:before="25"/>
        <w:ind w:left="132"/>
        <w:rPr>
          <w:lang w:val="es-MX"/>
        </w:rPr>
      </w:pPr>
      <w:r w:rsidRPr="00C910D3">
        <w:rPr>
          <w:w w:val="105"/>
          <w:lang w:val="es-MX"/>
        </w:rPr>
        <w:t>* Nota: si cuenta con más artículos a reutilizar, favor de incluirlos en las filas en blanco</w:t>
      </w:r>
    </w:p>
    <w:p w:rsidR="002C65C3" w:rsidRDefault="002C65C3"/>
    <w:p w:rsidR="002C65C3" w:rsidRDefault="002C65C3"/>
    <w:p w:rsidR="002C65C3" w:rsidRDefault="002C65C3">
      <w:r>
        <w:t>Anexo 2</w:t>
      </w:r>
    </w:p>
    <w:tbl>
      <w:tblPr>
        <w:tblStyle w:val="TableNormal"/>
        <w:tblW w:w="0" w:type="auto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3078"/>
        <w:gridCol w:w="1094"/>
        <w:gridCol w:w="8628"/>
      </w:tblGrid>
      <w:tr w:rsidR="002C65C3" w:rsidTr="00D0456C">
        <w:trPr>
          <w:trHeight w:val="440"/>
        </w:trPr>
        <w:tc>
          <w:tcPr>
            <w:tcW w:w="1123" w:type="dxa"/>
            <w:shd w:val="clear" w:color="auto" w:fill="DA9694"/>
          </w:tcPr>
          <w:p w:rsidR="002C65C3" w:rsidRDefault="002C65C3" w:rsidP="00D0456C">
            <w:pPr>
              <w:pStyle w:val="TableParagraph"/>
              <w:spacing w:before="3"/>
              <w:ind w:left="48" w:right="4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ORGANISMO</w:t>
            </w:r>
          </w:p>
          <w:p w:rsidR="002C65C3" w:rsidRDefault="002C65C3" w:rsidP="00D0456C">
            <w:pPr>
              <w:pStyle w:val="TableParagraph"/>
              <w:spacing w:before="6" w:line="150" w:lineRule="atLeast"/>
              <w:ind w:left="53" w:right="46"/>
              <w:jc w:val="center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PÚBLICO LOCAL ELECTORAL</w:t>
            </w:r>
          </w:p>
        </w:tc>
        <w:tc>
          <w:tcPr>
            <w:tcW w:w="3078" w:type="dxa"/>
            <w:tcBorders>
              <w:bottom w:val="single" w:sz="2" w:space="0" w:color="000000"/>
            </w:tcBorders>
            <w:shd w:val="clear" w:color="auto" w:fill="DA9694"/>
          </w:tcPr>
          <w:p w:rsidR="002C65C3" w:rsidRDefault="002C65C3" w:rsidP="00D0456C">
            <w:pPr>
              <w:pStyle w:val="TableParagraph"/>
              <w:spacing w:before="2"/>
              <w:rPr>
                <w:b/>
                <w:sz w:val="13"/>
              </w:rPr>
            </w:pPr>
          </w:p>
          <w:p w:rsidR="002C65C3" w:rsidRDefault="002C65C3" w:rsidP="00D0456C">
            <w:pPr>
              <w:pStyle w:val="TableParagraph"/>
              <w:ind w:left="1180" w:right="117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MATERIAL*</w:t>
            </w:r>
          </w:p>
        </w:tc>
        <w:tc>
          <w:tcPr>
            <w:tcW w:w="1094" w:type="dxa"/>
            <w:shd w:val="clear" w:color="auto" w:fill="DA9694"/>
          </w:tcPr>
          <w:p w:rsidR="002C65C3" w:rsidRDefault="002C65C3" w:rsidP="00D0456C">
            <w:pPr>
              <w:pStyle w:val="TableParagraph"/>
              <w:spacing w:before="81"/>
              <w:ind w:left="208" w:right="20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CANTIDAD</w:t>
            </w:r>
          </w:p>
          <w:p w:rsidR="002C65C3" w:rsidRDefault="002C65C3" w:rsidP="00D0456C">
            <w:pPr>
              <w:pStyle w:val="TableParagraph"/>
              <w:spacing w:before="18"/>
              <w:ind w:left="204" w:right="20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(</w:t>
            </w:r>
            <w:proofErr w:type="spellStart"/>
            <w:r>
              <w:rPr>
                <w:rFonts w:ascii="Arial"/>
                <w:b/>
                <w:sz w:val="12"/>
              </w:rPr>
              <w:t>pz</w:t>
            </w:r>
            <w:proofErr w:type="spellEnd"/>
            <w:r>
              <w:rPr>
                <w:rFonts w:ascii="Arial"/>
                <w:b/>
                <w:sz w:val="12"/>
              </w:rPr>
              <w:t>)</w:t>
            </w:r>
          </w:p>
        </w:tc>
        <w:tc>
          <w:tcPr>
            <w:tcW w:w="8628" w:type="dxa"/>
            <w:shd w:val="clear" w:color="auto" w:fill="DA9694"/>
          </w:tcPr>
          <w:p w:rsidR="002C65C3" w:rsidRDefault="002C65C3" w:rsidP="00D0456C">
            <w:pPr>
              <w:pStyle w:val="TableParagraph"/>
              <w:spacing w:before="2"/>
              <w:rPr>
                <w:b/>
                <w:sz w:val="13"/>
              </w:rPr>
            </w:pPr>
          </w:p>
          <w:p w:rsidR="002C65C3" w:rsidRDefault="002C65C3" w:rsidP="00D0456C">
            <w:pPr>
              <w:pStyle w:val="TableParagraph"/>
              <w:ind w:left="3761" w:right="3757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OBSERVACIONES</w:t>
            </w: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 w:val="restart"/>
          </w:tcPr>
          <w:p w:rsidR="002C65C3" w:rsidRPr="00A31A87" w:rsidRDefault="002C65C3" w:rsidP="00D0456C">
            <w:pPr>
              <w:pStyle w:val="TableParagraph"/>
              <w:rPr>
                <w:b/>
                <w:sz w:val="12"/>
                <w:lang w:val="es-MX"/>
              </w:rPr>
            </w:pPr>
          </w:p>
          <w:p w:rsidR="002C65C3" w:rsidRPr="00A31A87" w:rsidRDefault="002C65C3" w:rsidP="00D0456C">
            <w:pPr>
              <w:pStyle w:val="TableParagraph"/>
              <w:rPr>
                <w:b/>
                <w:sz w:val="12"/>
                <w:lang w:val="es-MX"/>
              </w:rPr>
            </w:pPr>
          </w:p>
          <w:p w:rsidR="002C65C3" w:rsidRPr="00A31A87" w:rsidRDefault="002C65C3" w:rsidP="00D0456C">
            <w:pPr>
              <w:pStyle w:val="TableParagraph"/>
              <w:rPr>
                <w:b/>
                <w:sz w:val="12"/>
                <w:lang w:val="es-MX"/>
              </w:rPr>
            </w:pPr>
          </w:p>
          <w:p w:rsidR="002C65C3" w:rsidRPr="00A31A87" w:rsidRDefault="002C65C3" w:rsidP="00D0456C">
            <w:pPr>
              <w:pStyle w:val="TableParagraph"/>
              <w:rPr>
                <w:b/>
                <w:sz w:val="12"/>
                <w:lang w:val="es-MX"/>
              </w:rPr>
            </w:pPr>
          </w:p>
          <w:p w:rsidR="002C65C3" w:rsidRPr="00A31A87" w:rsidRDefault="002C65C3" w:rsidP="00D0456C">
            <w:pPr>
              <w:pStyle w:val="TableParagraph"/>
              <w:rPr>
                <w:b/>
                <w:sz w:val="15"/>
                <w:lang w:val="es-MX"/>
              </w:rPr>
            </w:pPr>
          </w:p>
          <w:p w:rsidR="002C65C3" w:rsidRPr="00A31A87" w:rsidRDefault="002C65C3" w:rsidP="00D0456C">
            <w:pPr>
              <w:pStyle w:val="TableParagraph"/>
              <w:tabs>
                <w:tab w:val="left" w:pos="924"/>
              </w:tabs>
              <w:spacing w:before="1" w:line="266" w:lineRule="auto"/>
              <w:ind w:left="16" w:right="12"/>
              <w:jc w:val="both"/>
              <w:rPr>
                <w:sz w:val="13"/>
                <w:lang w:val="es-MX"/>
              </w:rPr>
            </w:pPr>
            <w:r w:rsidRPr="00A31A87">
              <w:rPr>
                <w:w w:val="105"/>
                <w:sz w:val="13"/>
                <w:lang w:val="es-MX"/>
              </w:rPr>
              <w:t>Instituto Electoral</w:t>
            </w:r>
            <w:r w:rsidRPr="00A31A87">
              <w:rPr>
                <w:spacing w:val="-10"/>
                <w:w w:val="105"/>
                <w:sz w:val="13"/>
                <w:lang w:val="es-MX"/>
              </w:rPr>
              <w:t xml:space="preserve"> </w:t>
            </w:r>
            <w:r w:rsidRPr="00A31A87">
              <w:rPr>
                <w:w w:val="105"/>
                <w:sz w:val="13"/>
                <w:lang w:val="es-MX"/>
              </w:rPr>
              <w:t>y de Participación Ciudadana</w:t>
            </w:r>
            <w:r w:rsidRPr="00A31A87">
              <w:rPr>
                <w:w w:val="105"/>
                <w:sz w:val="13"/>
                <w:lang w:val="es-MX"/>
              </w:rPr>
              <w:tab/>
            </w:r>
            <w:r w:rsidRPr="00A31A87">
              <w:rPr>
                <w:sz w:val="13"/>
                <w:lang w:val="es-MX"/>
              </w:rPr>
              <w:t xml:space="preserve">del </w:t>
            </w:r>
            <w:r w:rsidRPr="00A31A87">
              <w:rPr>
                <w:w w:val="105"/>
                <w:sz w:val="13"/>
                <w:lang w:val="es-MX"/>
              </w:rPr>
              <w:t>Estado de</w:t>
            </w:r>
            <w:r w:rsidRPr="00A31A87">
              <w:rPr>
                <w:spacing w:val="-22"/>
                <w:w w:val="105"/>
                <w:sz w:val="13"/>
                <w:lang w:val="es-MX"/>
              </w:rPr>
              <w:t xml:space="preserve"> </w:t>
            </w:r>
            <w:r w:rsidRPr="00A31A87">
              <w:rPr>
                <w:w w:val="105"/>
                <w:sz w:val="13"/>
                <w:lang w:val="es-MX"/>
              </w:rPr>
              <w:t>Jalisco</w:t>
            </w: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4" w:line="150" w:lineRule="exact"/>
              <w:ind w:left="17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Urna</w:t>
            </w:r>
            <w:proofErr w:type="spellEnd"/>
            <w:r>
              <w:rPr>
                <w:w w:val="105"/>
                <w:sz w:val="14"/>
              </w:rPr>
              <w:t xml:space="preserve"> de </w:t>
            </w:r>
            <w:proofErr w:type="spellStart"/>
            <w:r>
              <w:rPr>
                <w:w w:val="105"/>
                <w:sz w:val="14"/>
              </w:rPr>
              <w:t>Munícipes</w:t>
            </w:r>
            <w:proofErr w:type="spellEnd"/>
          </w:p>
        </w:tc>
        <w:tc>
          <w:tcPr>
            <w:tcW w:w="1094" w:type="dxa"/>
            <w:tcBorders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4" w:line="150" w:lineRule="exact"/>
              <w:ind w:right="16"/>
              <w:jc w:val="right"/>
              <w:rPr>
                <w:sz w:val="14"/>
              </w:rPr>
            </w:pPr>
            <w:r>
              <w:rPr>
                <w:sz w:val="14"/>
              </w:rPr>
              <w:t>294</w:t>
            </w:r>
          </w:p>
        </w:tc>
        <w:tc>
          <w:tcPr>
            <w:tcW w:w="8628" w:type="dxa"/>
          </w:tcPr>
          <w:p w:rsidR="002C65C3" w:rsidRPr="00A31A87" w:rsidRDefault="002C65C3" w:rsidP="00D0456C">
            <w:pPr>
              <w:pStyle w:val="TableParagraph"/>
              <w:spacing w:before="4" w:line="150" w:lineRule="exact"/>
              <w:ind w:left="17"/>
              <w:rPr>
                <w:sz w:val="14"/>
                <w:lang w:val="es-MX"/>
              </w:rPr>
            </w:pPr>
            <w:r w:rsidRPr="00A31A87">
              <w:rPr>
                <w:w w:val="105"/>
                <w:sz w:val="14"/>
                <w:lang w:val="es-MX"/>
              </w:rPr>
              <w:t>Daños en el cuerpo, ventanas rotas y manchadas, falta o daño de la ranura metálica, candados rotos.</w:t>
            </w: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4" w:line="151" w:lineRule="exact"/>
              <w:ind w:left="17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Urna</w:t>
            </w:r>
            <w:proofErr w:type="spellEnd"/>
            <w:r>
              <w:rPr>
                <w:w w:val="105"/>
                <w:sz w:val="14"/>
              </w:rPr>
              <w:t xml:space="preserve"> de </w:t>
            </w:r>
            <w:proofErr w:type="spellStart"/>
            <w:r>
              <w:rPr>
                <w:w w:val="105"/>
                <w:sz w:val="14"/>
              </w:rPr>
              <w:t>Diputados</w:t>
            </w:r>
            <w:proofErr w:type="spellEnd"/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4" w:line="151" w:lineRule="exact"/>
              <w:ind w:right="16"/>
              <w:jc w:val="righ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8628" w:type="dxa"/>
            <w:tcBorders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spacing w:before="4" w:line="151" w:lineRule="exact"/>
              <w:ind w:left="17"/>
              <w:rPr>
                <w:sz w:val="14"/>
                <w:lang w:val="es-MX"/>
              </w:rPr>
            </w:pPr>
            <w:r w:rsidRPr="00A31A87">
              <w:rPr>
                <w:w w:val="105"/>
                <w:sz w:val="14"/>
                <w:lang w:val="es-MX"/>
              </w:rPr>
              <w:t>Daños en el cuerpo, ventanas rotas y manchadas, falta o daño de la ranura metálica, candados rotos.</w:t>
            </w: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3" w:line="151" w:lineRule="exact"/>
              <w:ind w:left="17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Caja</w:t>
            </w:r>
            <w:proofErr w:type="spellEnd"/>
            <w:r>
              <w:rPr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Paquete</w:t>
            </w:r>
            <w:proofErr w:type="spellEnd"/>
            <w:r>
              <w:rPr>
                <w:w w:val="105"/>
                <w:sz w:val="14"/>
              </w:rPr>
              <w:t xml:space="preserve"> de </w:t>
            </w:r>
            <w:proofErr w:type="spellStart"/>
            <w:r>
              <w:rPr>
                <w:w w:val="105"/>
                <w:sz w:val="14"/>
              </w:rPr>
              <w:t>Munícipes</w:t>
            </w:r>
            <w:proofErr w:type="spellEnd"/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3" w:line="151" w:lineRule="exact"/>
              <w:ind w:right="1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2,237</w:t>
            </w: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spacing w:before="3" w:line="151" w:lineRule="exact"/>
              <w:ind w:left="17"/>
              <w:rPr>
                <w:sz w:val="14"/>
                <w:lang w:val="es-MX"/>
              </w:rPr>
            </w:pPr>
            <w:r w:rsidRPr="00A31A87">
              <w:rPr>
                <w:w w:val="105"/>
                <w:sz w:val="14"/>
                <w:lang w:val="es-MX"/>
              </w:rPr>
              <w:t>Estructura dañada, candados cortados, sobres rotos o ausentes, arnés inutilizado por falta de broches, arnés no presente, falta asa.</w:t>
            </w: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3" w:line="151" w:lineRule="exact"/>
              <w:ind w:left="17"/>
              <w:rPr>
                <w:sz w:val="14"/>
              </w:rPr>
            </w:pPr>
            <w:proofErr w:type="spellStart"/>
            <w:r>
              <w:rPr>
                <w:w w:val="105"/>
                <w:sz w:val="14"/>
              </w:rPr>
              <w:t>Caja</w:t>
            </w:r>
            <w:proofErr w:type="spellEnd"/>
            <w:r>
              <w:rPr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Paquete</w:t>
            </w:r>
            <w:proofErr w:type="spellEnd"/>
            <w:r>
              <w:rPr>
                <w:w w:val="105"/>
                <w:sz w:val="14"/>
              </w:rPr>
              <w:t xml:space="preserve"> de </w:t>
            </w:r>
            <w:proofErr w:type="spellStart"/>
            <w:r>
              <w:rPr>
                <w:w w:val="105"/>
                <w:sz w:val="14"/>
              </w:rPr>
              <w:t>Diputados</w:t>
            </w:r>
            <w:proofErr w:type="spellEnd"/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3" w:line="151" w:lineRule="exact"/>
              <w:ind w:right="16"/>
              <w:jc w:val="right"/>
              <w:rPr>
                <w:sz w:val="14"/>
              </w:rPr>
            </w:pPr>
            <w:r>
              <w:rPr>
                <w:sz w:val="14"/>
              </w:rPr>
              <w:t>606</w:t>
            </w: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spacing w:before="3" w:line="151" w:lineRule="exact"/>
              <w:ind w:left="17"/>
              <w:rPr>
                <w:sz w:val="14"/>
                <w:lang w:val="es-MX"/>
              </w:rPr>
            </w:pPr>
            <w:r w:rsidRPr="00A31A87">
              <w:rPr>
                <w:w w:val="105"/>
                <w:sz w:val="14"/>
                <w:lang w:val="es-MX"/>
              </w:rPr>
              <w:t>Estructura dañada, candados cortados, sobres rotos o ausentes, arnés inutilizado por falta de broches, arnés no presente, falta asa.</w:t>
            </w: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spacing w:before="3" w:line="151" w:lineRule="exact"/>
              <w:ind w:left="18"/>
              <w:rPr>
                <w:sz w:val="14"/>
                <w:lang w:val="es-MX"/>
              </w:rPr>
            </w:pPr>
            <w:r w:rsidRPr="00A31A87">
              <w:rPr>
                <w:w w:val="105"/>
                <w:sz w:val="14"/>
                <w:lang w:val="es-MX"/>
              </w:rPr>
              <w:t>Caja para entrega de Documentación Electoral</w:t>
            </w: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Default="002C65C3" w:rsidP="00D0456C">
            <w:pPr>
              <w:pStyle w:val="TableParagraph"/>
              <w:spacing w:before="3" w:line="151" w:lineRule="exact"/>
              <w:ind w:right="16"/>
              <w:jc w:val="right"/>
              <w:rPr>
                <w:sz w:val="14"/>
              </w:rPr>
            </w:pPr>
            <w:r>
              <w:rPr>
                <w:sz w:val="14"/>
              </w:rPr>
              <w:t>543</w:t>
            </w: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spacing w:before="3" w:line="151" w:lineRule="exact"/>
              <w:ind w:left="17"/>
              <w:rPr>
                <w:sz w:val="14"/>
                <w:lang w:val="es-MX"/>
              </w:rPr>
            </w:pPr>
            <w:r w:rsidRPr="00A31A87">
              <w:rPr>
                <w:w w:val="105"/>
                <w:sz w:val="14"/>
                <w:lang w:val="es-MX"/>
              </w:rPr>
              <w:t>Estructura dañada, candados cortados, sobres rotos o ausentes, arnés inutilizado por falta de broches, arnés no presente, falta asa.</w:t>
            </w: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  <w:bottom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  <w:tr w:rsidR="002C65C3" w:rsidRPr="00A31A87" w:rsidTr="00D0456C">
        <w:trPr>
          <w:trHeight w:val="160"/>
        </w:trPr>
        <w:tc>
          <w:tcPr>
            <w:tcW w:w="1123" w:type="dxa"/>
            <w:vMerge/>
            <w:tcBorders>
              <w:top w:val="nil"/>
            </w:tcBorders>
          </w:tcPr>
          <w:p w:rsidR="002C65C3" w:rsidRPr="00A31A87" w:rsidRDefault="002C65C3" w:rsidP="00D0456C">
            <w:pPr>
              <w:rPr>
                <w:sz w:val="2"/>
                <w:szCs w:val="2"/>
                <w:lang w:val="es-MX"/>
              </w:rPr>
            </w:pPr>
          </w:p>
        </w:tc>
        <w:tc>
          <w:tcPr>
            <w:tcW w:w="3078" w:type="dxa"/>
            <w:tcBorders>
              <w:top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1094" w:type="dxa"/>
            <w:tcBorders>
              <w:top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  <w:tc>
          <w:tcPr>
            <w:tcW w:w="8628" w:type="dxa"/>
            <w:tcBorders>
              <w:top w:val="single" w:sz="2" w:space="0" w:color="000000"/>
            </w:tcBorders>
          </w:tcPr>
          <w:p w:rsidR="002C65C3" w:rsidRPr="00A31A87" w:rsidRDefault="002C65C3" w:rsidP="00D0456C">
            <w:pPr>
              <w:pStyle w:val="TableParagraph"/>
              <w:rPr>
                <w:rFonts w:ascii="Times New Roman"/>
                <w:sz w:val="10"/>
                <w:lang w:val="es-MX"/>
              </w:rPr>
            </w:pPr>
          </w:p>
        </w:tc>
      </w:tr>
    </w:tbl>
    <w:p w:rsidR="002C65C3" w:rsidRPr="00A31A87" w:rsidRDefault="002C65C3" w:rsidP="002C65C3">
      <w:pPr>
        <w:pStyle w:val="Textoindependiente"/>
        <w:spacing w:before="21"/>
        <w:ind w:left="133"/>
        <w:rPr>
          <w:lang w:val="es-MX"/>
        </w:rPr>
      </w:pPr>
      <w:r w:rsidRPr="00A31A87">
        <w:rPr>
          <w:lang w:val="es-MX"/>
        </w:rPr>
        <w:t>* Nota: si cuenta con más artículos para desincorporar, favor de incluirlos en las filas en blanco</w:t>
      </w:r>
    </w:p>
    <w:p w:rsidR="002C65C3" w:rsidRDefault="002C65C3"/>
    <w:sectPr w:rsidR="002C65C3" w:rsidSect="0042345B">
      <w:headerReference w:type="default" r:id="rId11"/>
      <w:footerReference w:type="default" r:id="rId12"/>
      <w:pgSz w:w="15840" w:h="12240" w:orient="landscape"/>
      <w:pgMar w:top="720" w:right="1701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2C65C3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2C65C3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2C65C3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9264" behindDoc="0" locked="0" layoutInCell="1" allowOverlap="1" wp14:anchorId="003A92CF" wp14:editId="621ECBAA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>
      <w:rPr>
        <w:rFonts w:eastAsia="Times New Roman"/>
        <w:lang w:eastAsia="es-MX"/>
      </w:rPr>
      <w:t>OGRAMA ANUAL DE ACTIVIDADES 2016</w:t>
    </w:r>
  </w:p>
  <w:p w:rsidR="00883378" w:rsidRDefault="002C65C3" w:rsidP="00C61E22">
    <w:pPr>
      <w:pStyle w:val="Encabezado"/>
      <w:jc w:val="right"/>
    </w:pPr>
    <w:r w:rsidRPr="00883378">
      <w:t xml:space="preserve">Dirección de </w:t>
    </w:r>
    <w:r>
      <w:t>Organización Electoral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B4DC8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1639CD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41344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D7294E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AE6464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106"/>
    <w:rsid w:val="002C65C3"/>
    <w:rsid w:val="0032477B"/>
    <w:rsid w:val="0042345B"/>
    <w:rsid w:val="009D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06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D51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51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51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9D51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D5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106"/>
  </w:style>
  <w:style w:type="paragraph" w:styleId="Piedepgina">
    <w:name w:val="footer"/>
    <w:basedOn w:val="Normal"/>
    <w:link w:val="PiedepginaCar"/>
    <w:uiPriority w:val="99"/>
    <w:unhideWhenUsed/>
    <w:rsid w:val="009D5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106"/>
  </w:style>
  <w:style w:type="paragraph" w:styleId="Textodeglobo">
    <w:name w:val="Balloon Text"/>
    <w:basedOn w:val="Normal"/>
    <w:link w:val="TextodegloboCar"/>
    <w:uiPriority w:val="99"/>
    <w:semiHidden/>
    <w:unhideWhenUsed/>
    <w:rsid w:val="009D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510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C65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C65C3"/>
    <w:pPr>
      <w:widowControl w:val="0"/>
      <w:autoSpaceDE w:val="0"/>
      <w:autoSpaceDN w:val="0"/>
      <w:spacing w:before="8" w:after="0" w:line="240" w:lineRule="auto"/>
    </w:pPr>
    <w:rPr>
      <w:rFonts w:ascii="Calibri" w:eastAsia="Calibri" w:hAnsi="Calibri" w:cs="Calibri"/>
      <w:sz w:val="11"/>
      <w:szCs w:val="11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C65C3"/>
    <w:rPr>
      <w:rFonts w:ascii="Calibri" w:eastAsia="Calibri" w:hAnsi="Calibri" w:cs="Calibri"/>
      <w:sz w:val="11"/>
      <w:szCs w:val="11"/>
      <w:lang w:val="en-US"/>
    </w:rPr>
  </w:style>
  <w:style w:type="paragraph" w:customStyle="1" w:styleId="TableParagraph">
    <w:name w:val="Table Paragraph"/>
    <w:basedOn w:val="Normal"/>
    <w:uiPriority w:val="1"/>
    <w:qFormat/>
    <w:rsid w:val="002C65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106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9D51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D51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510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9D510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D5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5106"/>
  </w:style>
  <w:style w:type="paragraph" w:styleId="Piedepgina">
    <w:name w:val="footer"/>
    <w:basedOn w:val="Normal"/>
    <w:link w:val="PiedepginaCar"/>
    <w:uiPriority w:val="99"/>
    <w:unhideWhenUsed/>
    <w:rsid w:val="009D51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5106"/>
  </w:style>
  <w:style w:type="paragraph" w:styleId="Textodeglobo">
    <w:name w:val="Balloon Text"/>
    <w:basedOn w:val="Normal"/>
    <w:link w:val="TextodegloboCar"/>
    <w:uiPriority w:val="99"/>
    <w:semiHidden/>
    <w:unhideWhenUsed/>
    <w:rsid w:val="009D5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5106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2C65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2C65C3"/>
    <w:pPr>
      <w:widowControl w:val="0"/>
      <w:autoSpaceDE w:val="0"/>
      <w:autoSpaceDN w:val="0"/>
      <w:spacing w:before="8" w:after="0" w:line="240" w:lineRule="auto"/>
    </w:pPr>
    <w:rPr>
      <w:rFonts w:ascii="Calibri" w:eastAsia="Calibri" w:hAnsi="Calibri" w:cs="Calibri"/>
      <w:sz w:val="11"/>
      <w:szCs w:val="11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C65C3"/>
    <w:rPr>
      <w:rFonts w:ascii="Calibri" w:eastAsia="Calibri" w:hAnsi="Calibri" w:cs="Calibri"/>
      <w:sz w:val="11"/>
      <w:szCs w:val="11"/>
      <w:lang w:val="en-US"/>
    </w:rPr>
  </w:style>
  <w:style w:type="paragraph" w:customStyle="1" w:styleId="TableParagraph">
    <w:name w:val="Table Paragraph"/>
    <w:basedOn w:val="Normal"/>
    <w:uiPriority w:val="1"/>
    <w:qFormat/>
    <w:rsid w:val="002C65C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1254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Flores Ponce</dc:creator>
  <cp:lastModifiedBy>Claudia Flores Ponce</cp:lastModifiedBy>
  <cp:revision>1</cp:revision>
  <dcterms:created xsi:type="dcterms:W3CDTF">2017-10-06T17:08:00Z</dcterms:created>
  <dcterms:modified xsi:type="dcterms:W3CDTF">2017-10-06T17:36:00Z</dcterms:modified>
</cp:coreProperties>
</file>