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053564" w:rsidRDefault="00053564" w:rsidP="00053564">
      <w:pPr>
        <w:rPr>
          <w:lang w:eastAsia="es-MX"/>
        </w:rPr>
      </w:pPr>
      <w:bookmarkStart w:id="0" w:name="_GoBack"/>
      <w:bookmarkEnd w:id="0"/>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517343"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C61E22" w:rsidP="00C61E22">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00D90D7A"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D90D7A" w:rsidRPr="00B94491" w:rsidRDefault="00BB5C84" w:rsidP="00BB5C84">
            <w:pPr>
              <w:spacing w:after="0" w:line="240" w:lineRule="auto"/>
              <w:jc w:val="center"/>
              <w:rPr>
                <w:rFonts w:ascii="Trebuchet MS" w:eastAsia="Times New Roman" w:hAnsi="Trebuchet MS" w:cs="Arial"/>
                <w:b/>
                <w:lang w:eastAsia="es-MX"/>
              </w:rPr>
            </w:pPr>
            <w:r w:rsidRPr="00B94491">
              <w:rPr>
                <w:rFonts w:ascii="Trebuchet MS" w:eastAsia="Times New Roman" w:hAnsi="Trebuchet MS" w:cs="Arial"/>
                <w:b/>
                <w:lang w:eastAsia="es-MX"/>
              </w:rPr>
              <w:t>Procedimientos Jurisdiccionales</w:t>
            </w:r>
            <w:r w:rsidR="009A50DD">
              <w:rPr>
                <w:rFonts w:ascii="Trebuchet MS" w:eastAsia="Times New Roman" w:hAnsi="Trebuchet MS" w:cs="Arial"/>
                <w:b/>
                <w:lang w:eastAsia="es-MX"/>
              </w:rPr>
              <w:t xml:space="preserve"> (PJ)</w:t>
            </w:r>
          </w:p>
        </w:tc>
      </w:tr>
      <w:tr w:rsidR="00D90D7A" w:rsidRPr="00D90D7A" w:rsidTr="00BB5C84">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BB5C84" w:rsidP="00D90D7A">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00D90D7A"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BB5C84">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D90D7A" w:rsidRPr="00D90D7A" w:rsidRDefault="00BB5C84" w:rsidP="009A50DD">
            <w:pPr>
              <w:spacing w:after="0" w:line="240" w:lineRule="auto"/>
              <w:jc w:val="both"/>
              <w:rPr>
                <w:rFonts w:ascii="Trebuchet MS" w:eastAsia="Times New Roman" w:hAnsi="Trebuchet MS" w:cs="Arial"/>
                <w:sz w:val="20"/>
                <w:szCs w:val="20"/>
                <w:lang w:eastAsia="es-MX"/>
              </w:rPr>
            </w:pPr>
            <w:r w:rsidRPr="00BB5C84">
              <w:rPr>
                <w:rFonts w:ascii="Trebuchet MS" w:eastAsia="Times New Roman" w:hAnsi="Trebuchet MS" w:cs="Arial"/>
                <w:sz w:val="20"/>
                <w:szCs w:val="20"/>
                <w:lang w:eastAsia="es-MX"/>
              </w:rPr>
              <w:t>Tramitar y sustanciar los procedimientos jurisdiccionales de diversa índole en que el instituto</w:t>
            </w:r>
            <w:r w:rsidR="009A50DD" w:rsidRPr="00BB5C84">
              <w:rPr>
                <w:rFonts w:ascii="Trebuchet MS" w:eastAsia="Times New Roman" w:hAnsi="Trebuchet MS" w:cs="Arial"/>
                <w:sz w:val="20"/>
                <w:szCs w:val="20"/>
                <w:lang w:eastAsia="es-MX"/>
              </w:rPr>
              <w:t xml:space="preserve"> sea parte</w:t>
            </w:r>
          </w:p>
        </w:tc>
      </w:tr>
      <w:tr w:rsidR="00D90D7A" w:rsidRPr="00D90D7A" w:rsidTr="00BB5C84">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15"/>
        </w:trPr>
        <w:tc>
          <w:tcPr>
            <w:tcW w:w="1309" w:type="pct"/>
            <w:gridSpan w:val="3"/>
            <w:tcBorders>
              <w:top w:val="nil"/>
              <w:left w:val="nil"/>
              <w:bottom w:val="nil"/>
              <w:right w:val="nil"/>
            </w:tcBorders>
            <w:shd w:val="clear" w:color="auto" w:fill="auto"/>
            <w:noWrap/>
            <w:vAlign w:val="center"/>
            <w:hideMark/>
          </w:tcPr>
          <w:p w:rsidR="00517343" w:rsidRPr="00D90D7A" w:rsidRDefault="00517343"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517343" w:rsidRPr="00D90D7A" w:rsidRDefault="009A50DD" w:rsidP="009A50DD">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Informes sobre</w:t>
            </w:r>
            <w:r w:rsidR="00BB5C84" w:rsidRPr="00BB5C84">
              <w:rPr>
                <w:rFonts w:ascii="Trebuchet MS" w:eastAsia="Times New Roman" w:hAnsi="Trebuchet MS" w:cs="Arial"/>
                <w:color w:val="000000"/>
                <w:sz w:val="20"/>
                <w:szCs w:val="20"/>
                <w:lang w:eastAsia="es-MX"/>
              </w:rPr>
              <w:t xml:space="preserve"> los </w:t>
            </w:r>
            <w:r>
              <w:rPr>
                <w:rFonts w:ascii="Trebuchet MS" w:eastAsia="Times New Roman" w:hAnsi="Trebuchet MS" w:cs="Arial"/>
                <w:color w:val="000000"/>
                <w:sz w:val="20"/>
                <w:szCs w:val="20"/>
                <w:lang w:eastAsia="es-MX"/>
              </w:rPr>
              <w:t>procedimientos jurisdiccionales.</w:t>
            </w:r>
          </w:p>
        </w:tc>
      </w:tr>
      <w:tr w:rsidR="00D90D7A" w:rsidRPr="00D90D7A" w:rsidTr="00BB5C84">
        <w:trPr>
          <w:trHeight w:val="300"/>
        </w:trPr>
        <w:tc>
          <w:tcPr>
            <w:tcW w:w="356"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300"/>
        </w:trPr>
        <w:tc>
          <w:tcPr>
            <w:tcW w:w="356" w:type="pct"/>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D90D7A" w:rsidRPr="00D90D7A" w:rsidTr="00883378">
        <w:trPr>
          <w:trHeight w:val="232"/>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r>
      <w:tr w:rsidR="00D90D7A" w:rsidRPr="00D90D7A" w:rsidTr="00883378">
        <w:trPr>
          <w:trHeight w:val="300"/>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BB5C84" w:rsidRPr="00D90D7A" w:rsidTr="00697FE4">
        <w:trPr>
          <w:trHeight w:val="300"/>
        </w:trPr>
        <w:tc>
          <w:tcPr>
            <w:tcW w:w="356" w:type="pct"/>
            <w:shd w:val="clear" w:color="auto" w:fill="auto"/>
            <w:vAlign w:val="center"/>
            <w:hideMark/>
          </w:tcPr>
          <w:p w:rsidR="00BB5C84" w:rsidRPr="00D90D7A" w:rsidRDefault="00BB5C84" w:rsidP="00BB5C84">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BB5C84" w:rsidRDefault="009A50DD" w:rsidP="009A50DD">
            <w:pPr>
              <w:jc w:val="both"/>
              <w:rPr>
                <w:rFonts w:ascii="Calibri" w:hAnsi="Calibri" w:cs="Arial"/>
                <w:sz w:val="20"/>
                <w:szCs w:val="20"/>
              </w:rPr>
            </w:pPr>
            <w:r>
              <w:rPr>
                <w:rFonts w:ascii="Calibri" w:hAnsi="Calibri" w:cs="Arial"/>
                <w:sz w:val="20"/>
                <w:szCs w:val="20"/>
              </w:rPr>
              <w:t>Integrar</w:t>
            </w:r>
            <w:r w:rsidR="00BB5C84">
              <w:rPr>
                <w:rFonts w:ascii="Calibri" w:hAnsi="Calibri" w:cs="Arial"/>
                <w:sz w:val="20"/>
                <w:szCs w:val="20"/>
              </w:rPr>
              <w:t xml:space="preserve"> </w:t>
            </w:r>
            <w:r>
              <w:rPr>
                <w:rFonts w:ascii="Calibri" w:hAnsi="Calibri" w:cs="Arial"/>
                <w:sz w:val="20"/>
                <w:szCs w:val="20"/>
              </w:rPr>
              <w:t xml:space="preserve">los respectivos </w:t>
            </w:r>
            <w:r w:rsidR="00BB5C84">
              <w:rPr>
                <w:rFonts w:ascii="Calibri" w:hAnsi="Calibri" w:cs="Arial"/>
                <w:sz w:val="20"/>
                <w:szCs w:val="20"/>
              </w:rPr>
              <w:t xml:space="preserve">expedientes </w:t>
            </w:r>
            <w:r>
              <w:rPr>
                <w:rFonts w:ascii="Calibri" w:hAnsi="Calibri" w:cs="Arial"/>
                <w:sz w:val="20"/>
                <w:szCs w:val="20"/>
              </w:rPr>
              <w:t>de</w:t>
            </w:r>
            <w:r w:rsidR="00BB5C84">
              <w:rPr>
                <w:rFonts w:ascii="Calibri" w:hAnsi="Calibri" w:cs="Arial"/>
                <w:sz w:val="20"/>
                <w:szCs w:val="20"/>
              </w:rPr>
              <w:t xml:space="preserve"> los diversos procedimientos jurisdiccionales</w:t>
            </w:r>
            <w:r>
              <w:rPr>
                <w:rFonts w:ascii="Calibri" w:hAnsi="Calibri" w:cs="Arial"/>
                <w:sz w:val="20"/>
                <w:szCs w:val="20"/>
              </w:rPr>
              <w:t xml:space="preserve"> en que el instituto sea parte</w:t>
            </w:r>
            <w:r w:rsidR="00BB5C84">
              <w:rPr>
                <w:rFonts w:ascii="Calibri" w:hAnsi="Calibri" w:cs="Arial"/>
                <w:sz w:val="20"/>
                <w:szCs w:val="20"/>
              </w:rPr>
              <w:t>.</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5C84" w:rsidRDefault="00BB5C84" w:rsidP="00BB5C84">
            <w:pPr>
              <w:jc w:val="center"/>
              <w:rPr>
                <w:rFonts w:ascii="Calibri" w:hAnsi="Calibri" w:cs="Arial"/>
                <w:sz w:val="20"/>
                <w:szCs w:val="20"/>
              </w:rPr>
            </w:pPr>
            <w:r>
              <w:rPr>
                <w:rFonts w:ascii="Calibri" w:hAnsi="Calibri" w:cs="Arial"/>
                <w:sz w:val="20"/>
                <w:szCs w:val="20"/>
              </w:rPr>
              <w:t>01-ene-1</w:t>
            </w:r>
            <w:r w:rsidR="009A50DD">
              <w:rPr>
                <w:rFonts w:ascii="Calibri" w:hAnsi="Calibri" w:cs="Arial"/>
                <w:sz w:val="20"/>
                <w:szCs w:val="20"/>
              </w:rPr>
              <w:t>7</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BB5C84" w:rsidRDefault="00BB5C84" w:rsidP="00BB5C84">
            <w:pPr>
              <w:jc w:val="center"/>
              <w:rPr>
                <w:rFonts w:ascii="Calibri" w:hAnsi="Calibri" w:cs="Arial"/>
                <w:sz w:val="20"/>
                <w:szCs w:val="20"/>
              </w:rPr>
            </w:pPr>
            <w:r>
              <w:rPr>
                <w:rFonts w:ascii="Calibri" w:hAnsi="Calibri" w:cs="Arial"/>
                <w:sz w:val="20"/>
                <w:szCs w:val="20"/>
              </w:rPr>
              <w:t>31-dic-1</w:t>
            </w:r>
            <w:r w:rsidR="009A50DD">
              <w:rPr>
                <w:rFonts w:ascii="Calibri" w:hAnsi="Calibri" w:cs="Arial"/>
                <w:sz w:val="20"/>
                <w:szCs w:val="20"/>
              </w:rPr>
              <w:t>7</w:t>
            </w:r>
          </w:p>
        </w:tc>
      </w:tr>
      <w:tr w:rsidR="00BB5C84" w:rsidRPr="00D90D7A" w:rsidTr="00697FE4">
        <w:trPr>
          <w:trHeight w:val="300"/>
        </w:trPr>
        <w:tc>
          <w:tcPr>
            <w:tcW w:w="356" w:type="pct"/>
            <w:shd w:val="clear" w:color="auto" w:fill="auto"/>
            <w:vAlign w:val="center"/>
            <w:hideMark/>
          </w:tcPr>
          <w:p w:rsidR="00BB5C84" w:rsidRPr="00D90D7A" w:rsidRDefault="00BB5C84" w:rsidP="00BB5C84">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BB5C84" w:rsidRDefault="009A50DD" w:rsidP="00BB5C84">
            <w:pPr>
              <w:jc w:val="both"/>
              <w:rPr>
                <w:rFonts w:ascii="Calibri" w:hAnsi="Calibri" w:cs="Arial"/>
                <w:sz w:val="20"/>
                <w:szCs w:val="20"/>
              </w:rPr>
            </w:pPr>
            <w:r>
              <w:rPr>
                <w:rFonts w:ascii="Calibri" w:hAnsi="Calibri" w:cs="Arial"/>
                <w:sz w:val="20"/>
                <w:szCs w:val="20"/>
              </w:rPr>
              <w:t>Elaborar y presentar los informes circunstanciados así como atender los</w:t>
            </w:r>
            <w:r w:rsidR="00BB5C84">
              <w:rPr>
                <w:rFonts w:ascii="Calibri" w:hAnsi="Calibri" w:cs="Arial"/>
                <w:sz w:val="20"/>
                <w:szCs w:val="20"/>
              </w:rPr>
              <w:t xml:space="preserve"> requerimientos realizados por autoridades jurisdiccionales.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BB5C84" w:rsidRDefault="00BB5C84" w:rsidP="00BB5C84">
            <w:pPr>
              <w:jc w:val="center"/>
              <w:rPr>
                <w:rFonts w:ascii="Calibri" w:hAnsi="Calibri" w:cs="Arial"/>
                <w:sz w:val="20"/>
                <w:szCs w:val="20"/>
              </w:rPr>
            </w:pPr>
            <w:r>
              <w:rPr>
                <w:rFonts w:ascii="Calibri" w:hAnsi="Calibri" w:cs="Arial"/>
                <w:sz w:val="20"/>
                <w:szCs w:val="20"/>
              </w:rPr>
              <w:t>01-ene-1</w:t>
            </w:r>
            <w:r w:rsidR="009A50DD">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BB5C84" w:rsidRDefault="00BB5C84" w:rsidP="00BB5C84">
            <w:pPr>
              <w:jc w:val="center"/>
              <w:rPr>
                <w:rFonts w:ascii="Calibri" w:hAnsi="Calibri" w:cs="Arial"/>
                <w:sz w:val="20"/>
                <w:szCs w:val="20"/>
              </w:rPr>
            </w:pPr>
            <w:r>
              <w:rPr>
                <w:rFonts w:ascii="Calibri" w:hAnsi="Calibri" w:cs="Arial"/>
                <w:sz w:val="20"/>
                <w:szCs w:val="20"/>
              </w:rPr>
              <w:t>31-dic-1</w:t>
            </w:r>
            <w:r w:rsidR="009A50DD">
              <w:rPr>
                <w:rFonts w:ascii="Calibri" w:hAnsi="Calibri" w:cs="Arial"/>
                <w:sz w:val="20"/>
                <w:szCs w:val="20"/>
              </w:rPr>
              <w:t>7</w:t>
            </w:r>
          </w:p>
        </w:tc>
      </w:tr>
      <w:tr w:rsidR="00BB5C84" w:rsidRPr="00D90D7A" w:rsidTr="00697FE4">
        <w:trPr>
          <w:trHeight w:val="300"/>
        </w:trPr>
        <w:tc>
          <w:tcPr>
            <w:tcW w:w="356" w:type="pct"/>
            <w:shd w:val="clear" w:color="auto" w:fill="auto"/>
            <w:vAlign w:val="center"/>
            <w:hideMark/>
          </w:tcPr>
          <w:p w:rsidR="00BB5C84" w:rsidRPr="00D90D7A" w:rsidRDefault="00BB5C84" w:rsidP="00BB5C84">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BB5C84" w:rsidRDefault="009A50DD" w:rsidP="00BB5C84">
            <w:pPr>
              <w:jc w:val="both"/>
              <w:rPr>
                <w:rFonts w:ascii="Calibri" w:hAnsi="Calibri" w:cs="Arial"/>
                <w:sz w:val="20"/>
                <w:szCs w:val="20"/>
              </w:rPr>
            </w:pPr>
            <w:r>
              <w:rPr>
                <w:rFonts w:ascii="Calibri" w:hAnsi="Calibri" w:cs="Arial"/>
                <w:sz w:val="20"/>
                <w:szCs w:val="20"/>
              </w:rPr>
              <w:t>Comparecer</w:t>
            </w:r>
            <w:r w:rsidR="00BB5C84">
              <w:rPr>
                <w:rFonts w:ascii="Calibri" w:hAnsi="Calibri" w:cs="Arial"/>
                <w:sz w:val="20"/>
                <w:szCs w:val="20"/>
              </w:rPr>
              <w:t xml:space="preserve"> al desahogo de audiencias</w:t>
            </w:r>
            <w:r>
              <w:rPr>
                <w:rFonts w:ascii="Calibri" w:hAnsi="Calibri" w:cs="Arial"/>
                <w:sz w:val="20"/>
                <w:szCs w:val="20"/>
              </w:rPr>
              <w:t>, previa delegación de la facultad correspondiente</w:t>
            </w:r>
            <w:r w:rsidR="00BB5C84">
              <w:rPr>
                <w:rFonts w:ascii="Calibri" w:hAnsi="Calibri" w:cs="Arial"/>
                <w:sz w:val="20"/>
                <w:szCs w:val="20"/>
              </w:rPr>
              <w:t xml:space="preserve"> dentro de los</w:t>
            </w:r>
            <w:r>
              <w:rPr>
                <w:rFonts w:ascii="Calibri" w:hAnsi="Calibri" w:cs="Arial"/>
                <w:sz w:val="20"/>
                <w:szCs w:val="20"/>
              </w:rPr>
              <w:t xml:space="preserve"> diversos</w:t>
            </w:r>
            <w:r w:rsidR="00BB5C84">
              <w:rPr>
                <w:rFonts w:ascii="Calibri" w:hAnsi="Calibri" w:cs="Arial"/>
                <w:sz w:val="20"/>
                <w:szCs w:val="20"/>
              </w:rPr>
              <w:t xml:space="preserve"> procedimientos jurisdiccionales.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BB5C84" w:rsidRDefault="00BB5C84" w:rsidP="00BB5C84">
            <w:pPr>
              <w:jc w:val="center"/>
              <w:rPr>
                <w:rFonts w:ascii="Calibri" w:hAnsi="Calibri" w:cs="Arial"/>
                <w:sz w:val="20"/>
                <w:szCs w:val="20"/>
              </w:rPr>
            </w:pPr>
            <w:r>
              <w:rPr>
                <w:rFonts w:ascii="Calibri" w:hAnsi="Calibri" w:cs="Arial"/>
                <w:sz w:val="20"/>
                <w:szCs w:val="20"/>
              </w:rPr>
              <w:t>01-ene-1</w:t>
            </w:r>
            <w:r w:rsidR="009A50DD">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BB5C84" w:rsidRDefault="00BB5C84" w:rsidP="00BB5C84">
            <w:pPr>
              <w:jc w:val="center"/>
              <w:rPr>
                <w:rFonts w:ascii="Calibri" w:hAnsi="Calibri" w:cs="Arial"/>
                <w:sz w:val="20"/>
                <w:szCs w:val="20"/>
              </w:rPr>
            </w:pPr>
            <w:r>
              <w:rPr>
                <w:rFonts w:ascii="Calibri" w:hAnsi="Calibri" w:cs="Arial"/>
                <w:sz w:val="20"/>
                <w:szCs w:val="20"/>
              </w:rPr>
              <w:t>31-dic-1</w:t>
            </w:r>
            <w:r w:rsidR="009A50DD">
              <w:rPr>
                <w:rFonts w:ascii="Calibri" w:hAnsi="Calibri" w:cs="Arial"/>
                <w:sz w:val="20"/>
                <w:szCs w:val="20"/>
              </w:rPr>
              <w:t>7</w:t>
            </w:r>
          </w:p>
        </w:tc>
      </w:tr>
      <w:tr w:rsidR="00BB5C84" w:rsidRPr="00D90D7A" w:rsidTr="00697FE4">
        <w:trPr>
          <w:trHeight w:val="300"/>
        </w:trPr>
        <w:tc>
          <w:tcPr>
            <w:tcW w:w="356" w:type="pct"/>
            <w:shd w:val="clear" w:color="auto" w:fill="auto"/>
            <w:vAlign w:val="center"/>
            <w:hideMark/>
          </w:tcPr>
          <w:p w:rsidR="00BB5C84" w:rsidRPr="00D90D7A" w:rsidRDefault="00BB5C84" w:rsidP="00BB5C84">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BB5C84" w:rsidRDefault="009A50DD" w:rsidP="00BB5C84">
            <w:pPr>
              <w:jc w:val="both"/>
              <w:rPr>
                <w:rFonts w:ascii="Calibri" w:hAnsi="Calibri" w:cs="Arial"/>
                <w:sz w:val="20"/>
                <w:szCs w:val="20"/>
              </w:rPr>
            </w:pPr>
            <w:r>
              <w:rPr>
                <w:rFonts w:ascii="Calibri" w:hAnsi="Calibri" w:cs="Arial"/>
                <w:sz w:val="20"/>
                <w:szCs w:val="20"/>
              </w:rPr>
              <w:t>Elaborar y presentar</w:t>
            </w:r>
            <w:r w:rsidR="00BB5C84">
              <w:rPr>
                <w:rFonts w:ascii="Calibri" w:hAnsi="Calibri" w:cs="Arial"/>
                <w:sz w:val="20"/>
                <w:szCs w:val="20"/>
              </w:rPr>
              <w:t xml:space="preserve"> los escritos que sean necesarios para la sustanciación de los </w:t>
            </w:r>
            <w:r>
              <w:rPr>
                <w:rFonts w:ascii="Calibri" w:hAnsi="Calibri" w:cs="Arial"/>
                <w:sz w:val="20"/>
                <w:szCs w:val="20"/>
              </w:rPr>
              <w:t xml:space="preserve">diversos </w:t>
            </w:r>
            <w:r w:rsidR="00BB5C84">
              <w:rPr>
                <w:rFonts w:ascii="Calibri" w:hAnsi="Calibri" w:cs="Arial"/>
                <w:sz w:val="20"/>
                <w:szCs w:val="20"/>
              </w:rPr>
              <w:t>procedimientos jurisdiccionales.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BB5C84" w:rsidRDefault="00BB5C84" w:rsidP="00BB5C84">
            <w:pPr>
              <w:jc w:val="center"/>
              <w:rPr>
                <w:rFonts w:ascii="Calibri" w:hAnsi="Calibri" w:cs="Arial"/>
                <w:sz w:val="20"/>
                <w:szCs w:val="20"/>
              </w:rPr>
            </w:pPr>
            <w:r>
              <w:rPr>
                <w:rFonts w:ascii="Calibri" w:hAnsi="Calibri" w:cs="Arial"/>
                <w:sz w:val="20"/>
                <w:szCs w:val="20"/>
              </w:rPr>
              <w:t>01-ene-1</w:t>
            </w:r>
            <w:r w:rsidR="009A50DD">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BB5C84" w:rsidRDefault="00BB5C84" w:rsidP="00BB5C84">
            <w:pPr>
              <w:jc w:val="center"/>
              <w:rPr>
                <w:rFonts w:ascii="Calibri" w:hAnsi="Calibri" w:cs="Arial"/>
                <w:sz w:val="20"/>
                <w:szCs w:val="20"/>
              </w:rPr>
            </w:pPr>
            <w:r>
              <w:rPr>
                <w:rFonts w:ascii="Calibri" w:hAnsi="Calibri" w:cs="Arial"/>
                <w:sz w:val="20"/>
                <w:szCs w:val="20"/>
              </w:rPr>
              <w:t>31-dic-1</w:t>
            </w:r>
            <w:r w:rsidR="009A50DD">
              <w:rPr>
                <w:rFonts w:ascii="Calibri" w:hAnsi="Calibri" w:cs="Arial"/>
                <w:sz w:val="20"/>
                <w:szCs w:val="20"/>
              </w:rPr>
              <w:t>7</w:t>
            </w:r>
          </w:p>
        </w:tc>
      </w:tr>
      <w:tr w:rsidR="00BB5C84" w:rsidRPr="00D90D7A" w:rsidTr="00697FE4">
        <w:trPr>
          <w:trHeight w:val="300"/>
        </w:trPr>
        <w:tc>
          <w:tcPr>
            <w:tcW w:w="356" w:type="pct"/>
            <w:shd w:val="clear" w:color="auto" w:fill="auto"/>
            <w:vAlign w:val="center"/>
            <w:hideMark/>
          </w:tcPr>
          <w:p w:rsidR="00BB5C84" w:rsidRPr="00D90D7A" w:rsidRDefault="00BB5C84" w:rsidP="00BB5C84">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BB5C84" w:rsidRDefault="009A50DD" w:rsidP="009A50DD">
            <w:pPr>
              <w:jc w:val="both"/>
              <w:rPr>
                <w:rFonts w:ascii="Calibri" w:hAnsi="Calibri" w:cs="Arial"/>
                <w:sz w:val="20"/>
                <w:szCs w:val="20"/>
              </w:rPr>
            </w:pPr>
            <w:r>
              <w:rPr>
                <w:rFonts w:ascii="Calibri" w:hAnsi="Calibri" w:cs="Arial"/>
                <w:sz w:val="20"/>
                <w:szCs w:val="20"/>
              </w:rPr>
              <w:t>Otorgar seguimiento a las etapas de los diversos</w:t>
            </w:r>
            <w:r w:rsidR="00BB5C84">
              <w:rPr>
                <w:rFonts w:ascii="Calibri" w:hAnsi="Calibri" w:cs="Arial"/>
                <w:sz w:val="20"/>
                <w:szCs w:val="20"/>
              </w:rPr>
              <w:t xml:space="preserve"> procedimientos jurisdiccionales.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BB5C84" w:rsidRDefault="00BB5C84" w:rsidP="00BB5C84">
            <w:pPr>
              <w:jc w:val="center"/>
              <w:rPr>
                <w:rFonts w:ascii="Calibri" w:hAnsi="Calibri" w:cs="Arial"/>
                <w:sz w:val="20"/>
                <w:szCs w:val="20"/>
              </w:rPr>
            </w:pPr>
            <w:r>
              <w:rPr>
                <w:rFonts w:ascii="Calibri" w:hAnsi="Calibri" w:cs="Arial"/>
                <w:sz w:val="20"/>
                <w:szCs w:val="20"/>
              </w:rPr>
              <w:t>01-ene-1</w:t>
            </w:r>
            <w:r w:rsidR="009A50DD">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BB5C84" w:rsidRDefault="00BB5C84" w:rsidP="00BB5C84">
            <w:pPr>
              <w:jc w:val="center"/>
              <w:rPr>
                <w:rFonts w:ascii="Calibri" w:hAnsi="Calibri" w:cs="Arial"/>
                <w:sz w:val="20"/>
                <w:szCs w:val="20"/>
              </w:rPr>
            </w:pPr>
            <w:r>
              <w:rPr>
                <w:rFonts w:ascii="Calibri" w:hAnsi="Calibri" w:cs="Arial"/>
                <w:sz w:val="20"/>
                <w:szCs w:val="20"/>
              </w:rPr>
              <w:t>31-dic-1</w:t>
            </w:r>
            <w:r w:rsidR="009A50DD">
              <w:rPr>
                <w:rFonts w:ascii="Calibri" w:hAnsi="Calibri" w:cs="Arial"/>
                <w:sz w:val="20"/>
                <w:szCs w:val="20"/>
              </w:rPr>
              <w:t>7</w:t>
            </w:r>
          </w:p>
        </w:tc>
      </w:tr>
    </w:tbl>
    <w:p w:rsidR="00D90D7A" w:rsidRDefault="00D90D7A" w:rsidP="005F74AC">
      <w:pPr>
        <w:spacing w:after="0" w:line="240" w:lineRule="auto"/>
        <w:jc w:val="center"/>
        <w:rPr>
          <w:rFonts w:ascii="Trebuchet MS" w:eastAsia="Times New Roman" w:hAnsi="Trebuchet MS" w:cs="Arial"/>
          <w:sz w:val="28"/>
          <w:szCs w:val="28"/>
          <w:lang w:eastAsia="es-MX"/>
        </w:rPr>
      </w:pPr>
    </w:p>
    <w:p w:rsidR="00517343" w:rsidRDefault="00273A9A" w:rsidP="00053564">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517343" w:rsidRPr="00053564" w:rsidRDefault="00273A9A"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053564">
        <w:rPr>
          <w:rFonts w:ascii="Arial Narrow" w:hAnsi="Arial Narrow"/>
          <w:color w:val="808080" w:themeColor="background1" w:themeShade="80"/>
          <w:sz w:val="16"/>
          <w:szCs w:val="16"/>
          <w:lang w:eastAsia="es-MX"/>
        </w:rPr>
        <w:t xml:space="preserve">Extensión máxima </w:t>
      </w:r>
      <w:r w:rsidR="0093207A">
        <w:rPr>
          <w:rFonts w:ascii="Arial Narrow" w:hAnsi="Arial Narrow"/>
          <w:color w:val="808080" w:themeColor="background1" w:themeShade="80"/>
          <w:sz w:val="16"/>
          <w:szCs w:val="16"/>
          <w:lang w:eastAsia="es-MX"/>
        </w:rPr>
        <w:t>2,000 caracteres (con espacios)</w:t>
      </w:r>
    </w:p>
    <w:p w:rsidR="00053564" w:rsidRDefault="00DF0737" w:rsidP="0068234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Se desarrollaron las actividades en los términos planteados, estos es, se sustancio en tiempo y forma todas las etapas de</w:t>
      </w:r>
      <w:r w:rsidR="00B94491">
        <w:rPr>
          <w:lang w:eastAsia="es-MX"/>
        </w:rPr>
        <w:t xml:space="preserve"> </w:t>
      </w:r>
      <w:r w:rsidRPr="00DF0737">
        <w:rPr>
          <w:lang w:eastAsia="es-MX"/>
        </w:rPr>
        <w:t>l</w:t>
      </w:r>
      <w:r w:rsidR="00B94491">
        <w:rPr>
          <w:lang w:eastAsia="es-MX"/>
        </w:rPr>
        <w:t>os diversos procedimientos jurisdiccionales en el que el instituto promovió o fue llamado a juicio</w:t>
      </w:r>
      <w:r w:rsidRPr="00DF0737">
        <w:rPr>
          <w:lang w:eastAsia="es-MX"/>
        </w:rPr>
        <w:t>.</w:t>
      </w:r>
    </w:p>
    <w:p w:rsidR="00E4646C" w:rsidRDefault="00053564" w:rsidP="0005356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517343"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sidR="0093207A">
        <w:rPr>
          <w:rFonts w:ascii="Arial Narrow" w:hAnsi="Arial Narrow"/>
          <w:color w:val="808080" w:themeColor="background1" w:themeShade="80"/>
          <w:sz w:val="16"/>
          <w:szCs w:val="16"/>
          <w:lang w:eastAsia="es-MX"/>
        </w:rPr>
        <w:t xml:space="preserve"> </w:t>
      </w:r>
      <w:r w:rsidR="0093207A"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5</w:t>
      </w:r>
      <w:r w:rsidR="0093207A">
        <w:rPr>
          <w:rFonts w:ascii="Arial Narrow" w:hAnsi="Arial Narrow"/>
          <w:color w:val="808080" w:themeColor="background1" w:themeShade="80"/>
          <w:sz w:val="16"/>
          <w:szCs w:val="16"/>
          <w:lang w:eastAsia="es-MX"/>
        </w:rPr>
        <w:t>00 caracteres (con espacios)</w:t>
      </w:r>
    </w:p>
    <w:p w:rsidR="00053564" w:rsidRPr="00053564" w:rsidRDefault="00DF0737" w:rsidP="00B9449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E</w:t>
      </w:r>
      <w:r w:rsidR="00B94491">
        <w:rPr>
          <w:lang w:eastAsia="es-MX"/>
        </w:rPr>
        <w:t>n el caso de los procedimientos instaurados por el instituto el destinatario del proyecto resulta ser el propio instituto, ya que se promovió con la finalidad de hacer valer el derecho que en cada caso correspondiera, mientras que en el otro supuesto, donde fue llamado a juicio el instituto, se puede entender que el destinatario del proyecto resulta ser el promovente de la acción intentada</w:t>
      </w:r>
      <w:r w:rsidRPr="00DF0737">
        <w:rPr>
          <w:lang w:eastAsia="es-MX"/>
        </w:rPr>
        <w:t>.</w:t>
      </w:r>
    </w:p>
    <w:p w:rsidR="00053564" w:rsidRPr="00053564" w:rsidRDefault="00053564" w:rsidP="00B94491">
      <w:pPr>
        <w:pStyle w:val="Sinespaciado"/>
        <w:rPr>
          <w:lang w:eastAsia="es-MX"/>
        </w:rPr>
      </w:pPr>
    </w:p>
    <w:p w:rsidR="00273A9A" w:rsidRDefault="00053564" w:rsidP="00273A9A">
      <w:pPr>
        <w:pStyle w:val="Ttulo2"/>
        <w:numPr>
          <w:ilvl w:val="0"/>
          <w:numId w:val="2"/>
        </w:numPr>
        <w:rPr>
          <w:rFonts w:eastAsia="Times New Roman"/>
          <w:lang w:eastAsia="es-MX"/>
        </w:rPr>
      </w:pPr>
      <w:r>
        <w:rPr>
          <w:rFonts w:eastAsia="Times New Roman"/>
          <w:lang w:eastAsia="es-MX"/>
        </w:rPr>
        <w:t>Cumplimiento del o los objetivos del proyecto</w:t>
      </w:r>
    </w:p>
    <w:p w:rsidR="00E4646C" w:rsidRPr="00053564"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053564" w:rsidRPr="00053564" w:rsidRDefault="00DF0737" w:rsidP="0068234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 xml:space="preserve">Se cumplió con el 100 % de la meta propuesta, </w:t>
      </w:r>
      <w:r w:rsidR="00B94491">
        <w:rPr>
          <w:lang w:eastAsia="es-MX"/>
        </w:rPr>
        <w:t xml:space="preserve">en virtud de haberse atendido todas </w:t>
      </w:r>
      <w:r w:rsidRPr="00DF0737">
        <w:rPr>
          <w:lang w:eastAsia="es-MX"/>
        </w:rPr>
        <w:t xml:space="preserve">las actividades </w:t>
      </w:r>
      <w:r w:rsidR="00B94491">
        <w:rPr>
          <w:lang w:eastAsia="es-MX"/>
        </w:rPr>
        <w:t xml:space="preserve">institucionales que fueron programadas </w:t>
      </w:r>
      <w:r w:rsidRPr="00DF0737">
        <w:rPr>
          <w:lang w:eastAsia="es-MX"/>
        </w:rPr>
        <w:t xml:space="preserve">en el </w:t>
      </w:r>
      <w:r w:rsidR="00B94491">
        <w:rPr>
          <w:lang w:eastAsia="es-MX"/>
        </w:rPr>
        <w:t xml:space="preserve">presente </w:t>
      </w:r>
      <w:r w:rsidRPr="00DF0737">
        <w:rPr>
          <w:lang w:eastAsia="es-MX"/>
        </w:rPr>
        <w:t>proyecto.</w:t>
      </w:r>
    </w:p>
    <w:p w:rsid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273A9A" w:rsidRDefault="00053564"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93207A">
        <w:rPr>
          <w:rFonts w:ascii="Arial Narrow" w:hAnsi="Arial Narrow"/>
          <w:color w:val="808080" w:themeColor="background1" w:themeShade="80"/>
          <w:sz w:val="16"/>
          <w:szCs w:val="16"/>
          <w:lang w:eastAsia="es-MX"/>
        </w:rPr>
        <w:t>o es destacable de</w:t>
      </w:r>
      <w:r w:rsidRPr="0093207A">
        <w:rPr>
          <w:rFonts w:ascii="Arial Narrow" w:hAnsi="Arial Narrow"/>
          <w:color w:val="808080" w:themeColor="background1" w:themeShade="80"/>
          <w:sz w:val="16"/>
          <w:szCs w:val="16"/>
          <w:lang w:eastAsia="es-MX"/>
        </w:rPr>
        <w:t xml:space="preserve"> las actividades </w:t>
      </w:r>
      <w:r w:rsidR="0093207A" w:rsidRPr="0093207A">
        <w:rPr>
          <w:rFonts w:ascii="Arial Narrow" w:hAnsi="Arial Narrow"/>
          <w:color w:val="808080" w:themeColor="background1" w:themeShade="80"/>
          <w:sz w:val="16"/>
          <w:szCs w:val="16"/>
          <w:lang w:eastAsia="es-MX"/>
        </w:rPr>
        <w:t xml:space="preserve">del proyecto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B94491" w:rsidP="00B9449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En el presente caso se intervino en un total de 14 procedimientos jurisdiccionales, de diversas materias, en los cuales se </w:t>
      </w:r>
      <w:r w:rsidR="00DF0737" w:rsidRPr="00DF0737">
        <w:rPr>
          <w:lang w:eastAsia="es-MX"/>
        </w:rPr>
        <w:t>d</w:t>
      </w:r>
      <w:r>
        <w:rPr>
          <w:lang w:eastAsia="es-MX"/>
        </w:rPr>
        <w:t xml:space="preserve">io </w:t>
      </w:r>
      <w:r w:rsidR="00DF0737" w:rsidRPr="00DF0737">
        <w:rPr>
          <w:lang w:eastAsia="es-MX"/>
        </w:rPr>
        <w:t xml:space="preserve">cumplimiento con todas las etapas del procedimiento </w:t>
      </w:r>
      <w:r>
        <w:rPr>
          <w:lang w:eastAsia="es-MX"/>
        </w:rPr>
        <w:t>correspondiente, haciendo valer la defensa de los derechos de la institución</w:t>
      </w:r>
    </w:p>
    <w:p w:rsidR="0093207A" w:rsidRPr="0093207A" w:rsidRDefault="0093207A" w:rsidP="00B94491">
      <w:pPr>
        <w:pStyle w:val="Sinespaciado"/>
        <w:rPr>
          <w:lang w:eastAsia="es-MX"/>
        </w:rPr>
      </w:pP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Obstáculos y dificultades </w:t>
      </w:r>
      <w:r w:rsidR="0093207A">
        <w:rPr>
          <w:rFonts w:eastAsia="Times New Roman"/>
          <w:lang w:eastAsia="es-MX"/>
        </w:rPr>
        <w:t>enfrentadas</w:t>
      </w:r>
    </w:p>
    <w:p w:rsidR="00273A9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DF0737" w:rsidP="0068234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En el proyecto que se analiza, no se encontraron obstáculos o dificultades para la correcta realización del mismo.</w:t>
      </w:r>
    </w:p>
    <w:p w:rsidR="00273A9A" w:rsidRDefault="0093207A" w:rsidP="00273A9A">
      <w:pPr>
        <w:pStyle w:val="Ttulo2"/>
        <w:numPr>
          <w:ilvl w:val="0"/>
          <w:numId w:val="2"/>
        </w:numPr>
        <w:rPr>
          <w:rFonts w:eastAsia="Times New Roman"/>
          <w:lang w:eastAsia="es-MX"/>
        </w:rPr>
      </w:pPr>
      <w:r>
        <w:rPr>
          <w:rFonts w:eastAsia="Times New Roman"/>
          <w:lang w:eastAsia="es-MX"/>
        </w:rPr>
        <w:t>Aspectos a mejorar en la ejecución del proyecto</w:t>
      </w:r>
    </w:p>
    <w:p w:rsidR="0093207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DF0737" w:rsidP="0068234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Se puede unificar el presente proyecto, junto con el de Procedimiento</w:t>
      </w:r>
      <w:r w:rsidR="00B94491">
        <w:rPr>
          <w:lang w:eastAsia="es-MX"/>
        </w:rPr>
        <w:t>s</w:t>
      </w:r>
      <w:r w:rsidRPr="00DF0737">
        <w:rPr>
          <w:lang w:eastAsia="es-MX"/>
        </w:rPr>
        <w:t xml:space="preserve"> </w:t>
      </w:r>
      <w:r w:rsidR="00B94491">
        <w:rPr>
          <w:lang w:eastAsia="es-MX"/>
        </w:rPr>
        <w:t xml:space="preserve">Sancionadores Administrativos </w:t>
      </w:r>
      <w:r w:rsidR="00FA3F4F">
        <w:rPr>
          <w:lang w:eastAsia="es-MX"/>
        </w:rPr>
        <w:t xml:space="preserve">y Cuadrantes y Estadísticas, </w:t>
      </w:r>
      <w:r w:rsidRPr="00DF0737">
        <w:rPr>
          <w:lang w:eastAsia="es-MX"/>
        </w:rPr>
        <w:t>ya que las actividades de estos proyectos son muy afines entre sí.</w:t>
      </w:r>
    </w:p>
    <w:sectPr w:rsidR="0093207A" w:rsidRPr="0093207A"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19A" w:rsidRDefault="0087219A" w:rsidP="00883378">
      <w:pPr>
        <w:spacing w:after="0" w:line="240" w:lineRule="auto"/>
      </w:pPr>
      <w:r>
        <w:separator/>
      </w:r>
    </w:p>
  </w:endnote>
  <w:endnote w:type="continuationSeparator" w:id="0">
    <w:p w:rsidR="0087219A" w:rsidRDefault="0087219A"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88337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C753C3">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C753C3">
              <w:rPr>
                <w:b/>
                <w:bCs/>
                <w:noProof/>
              </w:rPr>
              <w:t>2</w:t>
            </w:r>
            <w:r>
              <w:rPr>
                <w:b/>
                <w:bCs/>
                <w:sz w:val="24"/>
                <w:szCs w:val="24"/>
              </w:rPr>
              <w:fldChar w:fldCharType="end"/>
            </w:r>
          </w:p>
        </w:sdtContent>
      </w:sdt>
    </w:sdtContent>
  </w:sdt>
  <w:p w:rsidR="00883378" w:rsidRDefault="00883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19A" w:rsidRDefault="0087219A" w:rsidP="00883378">
      <w:pPr>
        <w:spacing w:after="0" w:line="240" w:lineRule="auto"/>
      </w:pPr>
      <w:r>
        <w:separator/>
      </w:r>
    </w:p>
  </w:footnote>
  <w:footnote w:type="continuationSeparator" w:id="0">
    <w:p w:rsidR="0087219A" w:rsidRDefault="0087219A"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C61E22"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sidR="00883378">
      <w:rPr>
        <w:rFonts w:eastAsia="Times New Roman"/>
        <w:lang w:eastAsia="es-MX"/>
      </w:rPr>
      <w:t xml:space="preserve">INFORME DE EJECUCIÓN DEL </w:t>
    </w:r>
    <w:r w:rsidR="00883378" w:rsidRPr="005F74AC">
      <w:rPr>
        <w:rFonts w:eastAsia="Times New Roman"/>
        <w:lang w:eastAsia="es-MX"/>
      </w:rPr>
      <w:t>PR</w:t>
    </w:r>
    <w:r w:rsidR="00883378">
      <w:rPr>
        <w:rFonts w:eastAsia="Times New Roman"/>
        <w:lang w:eastAsia="es-MX"/>
      </w:rPr>
      <w:t>OGRAMA ANUAL DE ACTIVIDADES 201</w:t>
    </w:r>
    <w:r w:rsidR="009A50DD">
      <w:rPr>
        <w:rFonts w:eastAsia="Times New Roman"/>
        <w:lang w:eastAsia="es-MX"/>
      </w:rPr>
      <w:t>7</w:t>
    </w:r>
  </w:p>
  <w:p w:rsidR="00883378" w:rsidRDefault="00883378" w:rsidP="00C61E22">
    <w:pPr>
      <w:pStyle w:val="Encabezado"/>
      <w:jc w:val="right"/>
    </w:pPr>
    <w:r w:rsidRPr="00883378">
      <w:t xml:space="preserve">Dirección </w:t>
    </w:r>
    <w:r w:rsidR="00BB5C84">
      <w:t>Jurídica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53564"/>
    <w:rsid w:val="0017519B"/>
    <w:rsid w:val="0021540F"/>
    <w:rsid w:val="00220999"/>
    <w:rsid w:val="00273A9A"/>
    <w:rsid w:val="00517343"/>
    <w:rsid w:val="00587D48"/>
    <w:rsid w:val="005F74AC"/>
    <w:rsid w:val="006113D6"/>
    <w:rsid w:val="00682340"/>
    <w:rsid w:val="00744252"/>
    <w:rsid w:val="0087219A"/>
    <w:rsid w:val="00883378"/>
    <w:rsid w:val="0093207A"/>
    <w:rsid w:val="00972BA8"/>
    <w:rsid w:val="009A50DD"/>
    <w:rsid w:val="00A21476"/>
    <w:rsid w:val="00AB24CA"/>
    <w:rsid w:val="00B94491"/>
    <w:rsid w:val="00BB5C84"/>
    <w:rsid w:val="00BC5B18"/>
    <w:rsid w:val="00C0157F"/>
    <w:rsid w:val="00C47849"/>
    <w:rsid w:val="00C61E22"/>
    <w:rsid w:val="00C753C3"/>
    <w:rsid w:val="00D90D7A"/>
    <w:rsid w:val="00DF0737"/>
    <w:rsid w:val="00E01266"/>
    <w:rsid w:val="00E4646C"/>
    <w:rsid w:val="00FA3F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B9449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B944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90DA0-BB8D-45EF-9899-FA2CA7608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3542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Eduardo Robles Aldana</cp:lastModifiedBy>
  <cp:revision>2</cp:revision>
  <dcterms:created xsi:type="dcterms:W3CDTF">2018-01-29T17:07:00Z</dcterms:created>
  <dcterms:modified xsi:type="dcterms:W3CDTF">2018-01-29T17:07:00Z</dcterms:modified>
</cp:coreProperties>
</file>